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FF0AB7"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3D6B70" w:rsidRDefault="000823A0" w:rsidP="00FF0A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D6B70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A15F29" w:rsidRDefault="00BF6593" w:rsidP="00FF0AB7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3D6B70" w:rsidRDefault="00BF6593" w:rsidP="00FF0A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E63476" w:rsidRPr="00A15F29" w:rsidRDefault="00E63476" w:rsidP="006D7EF3">
            <w:pPr>
              <w:rPr>
                <w:sz w:val="18"/>
                <w:szCs w:val="18"/>
              </w:rPr>
            </w:pPr>
          </w:p>
        </w:tc>
      </w:tr>
      <w:tr w:rsidR="00BF6593" w:rsidRPr="00A15F29" w:rsidTr="00FF0AB7"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3D6B70" w:rsidRDefault="00BF6593" w:rsidP="00FF0AB7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F80">
              <w:rPr>
                <w:rFonts w:ascii="Arial" w:hAnsi="Arial" w:cs="Arial"/>
                <w:sz w:val="20"/>
                <w:szCs w:val="20"/>
              </w:rPr>
            </w:r>
            <w:r w:rsidR="00486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6B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6B70">
              <w:rPr>
                <w:rFonts w:ascii="Arial" w:hAnsi="Arial" w:cs="Arial"/>
                <w:sz w:val="20"/>
                <w:szCs w:val="20"/>
              </w:rPr>
              <w:tab/>
            </w:r>
            <w:r w:rsidR="005D030E" w:rsidRPr="00C77DAB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75AAC" w:rsidRPr="003D6B70">
              <w:rPr>
                <w:rFonts w:ascii="Arial" w:hAnsi="Arial" w:cs="Arial"/>
                <w:i/>
                <w:sz w:val="20"/>
                <w:szCs w:val="20"/>
              </w:rPr>
              <w:t>ttorney</w:t>
            </w:r>
            <w:r w:rsidR="005D030E" w:rsidRPr="003D6B70">
              <w:rPr>
                <w:rFonts w:ascii="Arial" w:hAnsi="Arial" w:cs="Arial"/>
                <w:i/>
                <w:sz w:val="20"/>
                <w:szCs w:val="20"/>
              </w:rPr>
              <w:t xml:space="preserve"> for Movant</w:t>
            </w:r>
          </w:p>
          <w:p w:rsidR="00BF6593" w:rsidRPr="00A15F29" w:rsidRDefault="00BF6593" w:rsidP="00FF0AB7">
            <w:pPr>
              <w:tabs>
                <w:tab w:val="left" w:pos="360"/>
              </w:tabs>
              <w:spacing w:after="60"/>
              <w:rPr>
                <w:sz w:val="15"/>
                <w:szCs w:val="15"/>
                <w:lang w:val="en-CA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B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6F80">
              <w:rPr>
                <w:rFonts w:ascii="Arial" w:hAnsi="Arial" w:cs="Arial"/>
                <w:sz w:val="20"/>
                <w:szCs w:val="20"/>
              </w:rPr>
            </w:r>
            <w:r w:rsidR="00486F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6B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6B70">
              <w:rPr>
                <w:rFonts w:ascii="Arial" w:hAnsi="Arial" w:cs="Arial"/>
                <w:sz w:val="20"/>
                <w:szCs w:val="20"/>
              </w:rPr>
              <w:tab/>
            </w:r>
            <w:r w:rsidR="005D030E" w:rsidRPr="003D6B70">
              <w:rPr>
                <w:rFonts w:ascii="Arial" w:hAnsi="Arial" w:cs="Arial"/>
                <w:i/>
                <w:sz w:val="20"/>
                <w:szCs w:val="20"/>
              </w:rPr>
              <w:t>Movant appearing without an attorney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FF0AB7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FF0AB7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FF0AB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BE316B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BE316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BE316B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BE316B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BE316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BE316B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BE316B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FF0AB7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3D6B70" w:rsidRDefault="00BF6593" w:rsidP="00FF0AB7">
            <w:pPr>
              <w:spacing w:before="100"/>
              <w:rPr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3D6B70" w:rsidRDefault="00BF6593" w:rsidP="003D6B70">
            <w:pPr>
              <w:tabs>
                <w:tab w:val="left" w:pos="110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3D6B70" w:rsidRDefault="00BE0D4B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3D6B70" w:rsidRDefault="00BE0D4B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3D6B70" w:rsidRDefault="00BF6593" w:rsidP="00FF0AB7">
            <w:pPr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3D6B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10616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>CHAPTER:</w:t>
            </w:r>
            <w:r w:rsidRPr="00A15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6593" w:rsidRPr="00A15F29" w:rsidTr="00FF0AB7"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3D6B70" w:rsidRDefault="00BF6593" w:rsidP="00FF0AB7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2E6E" w:rsidRDefault="00BF6593" w:rsidP="008563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5F29">
              <w:rPr>
                <w:rFonts w:ascii="Arial" w:hAnsi="Arial" w:cs="Arial"/>
                <w:b/>
                <w:bCs/>
              </w:rPr>
              <w:t xml:space="preserve">ORDER </w:t>
            </w:r>
            <w:r w:rsidR="004211A7">
              <w:rPr>
                <w:rFonts w:ascii="Arial" w:hAnsi="Arial" w:cs="Arial"/>
                <w:b/>
                <w:bCs/>
              </w:rPr>
              <w:t xml:space="preserve">GRANTING MOTION FOR </w:t>
            </w:r>
            <w:r w:rsidR="00E42E6E">
              <w:rPr>
                <w:rFonts w:ascii="Arial" w:hAnsi="Arial" w:cs="Arial"/>
                <w:b/>
                <w:bCs/>
              </w:rPr>
              <w:br/>
            </w:r>
            <w:r w:rsidR="004211A7">
              <w:rPr>
                <w:rFonts w:ascii="Arial" w:hAnsi="Arial" w:cs="Arial"/>
                <w:b/>
                <w:bCs/>
              </w:rPr>
              <w:t xml:space="preserve">RELIEF FROM THE AUTOMATIC </w:t>
            </w:r>
            <w:r w:rsidR="00E42E6E">
              <w:rPr>
                <w:rFonts w:ascii="Arial" w:hAnsi="Arial" w:cs="Arial"/>
                <w:b/>
                <w:bCs/>
              </w:rPr>
              <w:br/>
            </w:r>
            <w:r w:rsidR="004211A7">
              <w:rPr>
                <w:rFonts w:ascii="Arial" w:hAnsi="Arial" w:cs="Arial"/>
                <w:b/>
                <w:bCs/>
              </w:rPr>
              <w:t xml:space="preserve">STAY UNDER </w:t>
            </w:r>
            <w:r w:rsidR="00E42E6E">
              <w:rPr>
                <w:rFonts w:ascii="Arial" w:hAnsi="Arial" w:cs="Arial"/>
                <w:b/>
                <w:bCs/>
              </w:rPr>
              <w:t>11 U.S.C. § 362</w:t>
            </w:r>
          </w:p>
          <w:p w:rsidR="00BF6593" w:rsidRPr="00675AAC" w:rsidRDefault="004211A7" w:rsidP="008563CA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(REAL PROPERTY)</w:t>
            </w:r>
          </w:p>
        </w:tc>
      </w:tr>
      <w:tr w:rsidR="00BF6593" w:rsidRPr="00A15F29" w:rsidTr="00E42E6E">
        <w:trPr>
          <w:cantSplit/>
          <w:trHeight w:val="1524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3D6B70" w:rsidRDefault="00BF6593" w:rsidP="00FF0AB7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593" w:rsidRPr="003D6B70" w:rsidRDefault="00BF6593" w:rsidP="00FF0A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3D6B70" w:rsidRDefault="00BF6593" w:rsidP="00FF0AB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C77DAB">
        <w:trPr>
          <w:cantSplit/>
          <w:trHeight w:val="186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F6593" w:rsidRPr="003D6B70" w:rsidRDefault="00BF6593" w:rsidP="00A97B5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D6B70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FF0AB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FC1" w:rsidRPr="00A15F29" w:rsidTr="00FF0AB7">
        <w:trPr>
          <w:cantSplit/>
          <w:trHeight w:val="463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FC1" w:rsidRPr="00C77DAB" w:rsidRDefault="00E52FC1" w:rsidP="00FF0AB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Movant</w:t>
            </w: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D6B7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A97B56" w:rsidRPr="00E52FC1" w:rsidRDefault="00A97B56" w:rsidP="00FF0AB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C739B" w:rsidRDefault="00FC739B" w:rsidP="00272A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</w:p>
    <w:p w:rsidR="008270D0" w:rsidRPr="00557A13" w:rsidRDefault="008270D0" w:rsidP="008270D0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3690"/>
          <w:tab w:val="left" w:pos="54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57A13">
        <w:rPr>
          <w:rFonts w:ascii="Arial" w:hAnsi="Arial" w:cs="Arial"/>
          <w:sz w:val="20"/>
          <w:szCs w:val="20"/>
        </w:rPr>
        <w:t>The Motion was:</w:t>
      </w:r>
      <w:r w:rsidRPr="00557A13">
        <w:rPr>
          <w:rFonts w:ascii="Arial" w:hAnsi="Arial" w:cs="Arial"/>
          <w:sz w:val="20"/>
          <w:szCs w:val="20"/>
        </w:rPr>
        <w:tab/>
      </w:r>
      <w:bookmarkStart w:id="2" w:name="Check15"/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557A13">
        <w:rPr>
          <w:rFonts w:ascii="Arial" w:hAnsi="Arial" w:cs="Arial"/>
          <w:sz w:val="20"/>
          <w:szCs w:val="20"/>
        </w:rPr>
        <w:t xml:space="preserve"> </w:t>
      </w:r>
      <w:r w:rsidR="003D6B70">
        <w:rPr>
          <w:rFonts w:ascii="Arial" w:hAnsi="Arial" w:cs="Arial"/>
          <w:sz w:val="20"/>
          <w:szCs w:val="20"/>
        </w:rPr>
        <w:t xml:space="preserve"> </w:t>
      </w:r>
      <w:r w:rsidRPr="00557A13">
        <w:rPr>
          <w:rFonts w:ascii="Arial" w:hAnsi="Arial" w:cs="Arial"/>
          <w:sz w:val="20"/>
          <w:szCs w:val="20"/>
        </w:rPr>
        <w:t>Opposed</w:t>
      </w:r>
      <w:r w:rsidRPr="00557A13">
        <w:rPr>
          <w:rFonts w:ascii="Arial" w:hAnsi="Arial" w:cs="Arial"/>
          <w:sz w:val="20"/>
          <w:szCs w:val="20"/>
        </w:rPr>
        <w:tab/>
      </w:r>
      <w:bookmarkStart w:id="3" w:name="Check4"/>
      <w:r w:rsidRPr="00557A1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7A1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557A13">
        <w:rPr>
          <w:rFonts w:ascii="Arial" w:hAnsi="Arial" w:cs="Arial"/>
          <w:sz w:val="20"/>
          <w:szCs w:val="20"/>
        </w:rPr>
        <w:fldChar w:fldCharType="end"/>
      </w:r>
      <w:bookmarkEnd w:id="3"/>
      <w:r w:rsidRPr="00557A13">
        <w:rPr>
          <w:rFonts w:ascii="Arial" w:hAnsi="Arial" w:cs="Arial"/>
          <w:sz w:val="20"/>
          <w:szCs w:val="20"/>
        </w:rPr>
        <w:t xml:space="preserve"> </w:t>
      </w:r>
      <w:r w:rsidR="003D6B70">
        <w:rPr>
          <w:rFonts w:ascii="Arial" w:hAnsi="Arial" w:cs="Arial"/>
          <w:sz w:val="20"/>
          <w:szCs w:val="20"/>
        </w:rPr>
        <w:t xml:space="preserve"> </w:t>
      </w:r>
      <w:r w:rsidRPr="00557A13">
        <w:rPr>
          <w:rFonts w:ascii="Arial" w:hAnsi="Arial" w:cs="Arial"/>
          <w:sz w:val="20"/>
          <w:szCs w:val="20"/>
        </w:rPr>
        <w:t>Unopposed</w:t>
      </w:r>
      <w:r w:rsidRPr="00557A13">
        <w:rPr>
          <w:rFonts w:ascii="Arial" w:hAnsi="Arial" w:cs="Arial"/>
          <w:sz w:val="20"/>
          <w:szCs w:val="20"/>
        </w:rPr>
        <w:tab/>
      </w:r>
      <w:r w:rsidRPr="00557A1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7A1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557A13">
        <w:rPr>
          <w:rFonts w:ascii="Arial" w:hAnsi="Arial" w:cs="Arial"/>
          <w:sz w:val="20"/>
          <w:szCs w:val="20"/>
        </w:rPr>
        <w:fldChar w:fldCharType="end"/>
      </w:r>
      <w:r w:rsidRPr="00557A13">
        <w:rPr>
          <w:rFonts w:ascii="Arial" w:hAnsi="Arial" w:cs="Arial"/>
          <w:sz w:val="20"/>
          <w:szCs w:val="20"/>
        </w:rPr>
        <w:t xml:space="preserve"> </w:t>
      </w:r>
      <w:r w:rsidR="003D6B70">
        <w:rPr>
          <w:rFonts w:ascii="Arial" w:hAnsi="Arial" w:cs="Arial"/>
          <w:sz w:val="20"/>
          <w:szCs w:val="20"/>
        </w:rPr>
        <w:t xml:space="preserve"> </w:t>
      </w:r>
      <w:r w:rsidRPr="00557A13">
        <w:rPr>
          <w:rFonts w:ascii="Arial" w:hAnsi="Arial" w:cs="Arial"/>
          <w:sz w:val="20"/>
          <w:szCs w:val="20"/>
        </w:rPr>
        <w:t>Settled by stipulation</w:t>
      </w:r>
    </w:p>
    <w:p w:rsidR="008270D0" w:rsidRPr="00557A13" w:rsidRDefault="008270D0" w:rsidP="008270D0">
      <w:pPr>
        <w:widowControl w:val="0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0D0" w:rsidRPr="00557A13" w:rsidRDefault="008270D0" w:rsidP="008270D0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57A13">
        <w:rPr>
          <w:rFonts w:ascii="Arial" w:hAnsi="Arial" w:cs="Arial"/>
          <w:sz w:val="20"/>
          <w:szCs w:val="20"/>
        </w:rPr>
        <w:t>The Motion affects the following real property (Property):</w:t>
      </w:r>
    </w:p>
    <w:p w:rsidR="008270D0" w:rsidRPr="00557A13" w:rsidRDefault="008270D0" w:rsidP="008270D0">
      <w:pPr>
        <w:pStyle w:val="ListParagraph"/>
        <w:rPr>
          <w:rFonts w:ascii="Arial" w:hAnsi="Arial" w:cs="Arial"/>
          <w:sz w:val="20"/>
          <w:szCs w:val="20"/>
        </w:rPr>
      </w:pPr>
    </w:p>
    <w:p w:rsidR="008270D0" w:rsidRPr="00EC5F3B" w:rsidRDefault="008270D0" w:rsidP="00380331">
      <w:pPr>
        <w:tabs>
          <w:tab w:val="left" w:pos="720"/>
          <w:tab w:val="left" w:pos="2340"/>
          <w:tab w:val="left" w:pos="2880"/>
        </w:tabs>
        <w:ind w:right="-180" w:firstLine="360"/>
        <w:rPr>
          <w:rFonts w:ascii="Arial" w:hAnsi="Arial" w:cs="Arial"/>
          <w:sz w:val="20"/>
          <w:szCs w:val="20"/>
        </w:rPr>
      </w:pPr>
      <w:r w:rsidRPr="00C77DAB">
        <w:rPr>
          <w:rFonts w:ascii="Arial" w:hAnsi="Arial" w:cs="Arial"/>
          <w:i/>
          <w:sz w:val="20"/>
          <w:szCs w:val="20"/>
        </w:rPr>
        <w:t>Street address</w:t>
      </w:r>
      <w:r w:rsidRPr="00EC5F3B">
        <w:rPr>
          <w:rFonts w:ascii="Arial" w:hAnsi="Arial" w:cs="Arial"/>
          <w:sz w:val="20"/>
          <w:szCs w:val="20"/>
        </w:rPr>
        <w:t>:</w:t>
      </w:r>
      <w:r w:rsidRPr="00EC5F3B">
        <w:rPr>
          <w:rFonts w:ascii="Arial" w:hAnsi="Arial" w:cs="Arial"/>
          <w:sz w:val="20"/>
          <w:szCs w:val="20"/>
        </w:rPr>
        <w:tab/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" w:name="Text84"/>
      <w:r w:rsidR="003D6B70" w:rsidRPr="003D6B7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B70" w:rsidRPr="003D6B70">
        <w:rPr>
          <w:rFonts w:ascii="Arial" w:hAnsi="Arial" w:cs="Arial"/>
          <w:sz w:val="20"/>
          <w:szCs w:val="20"/>
          <w:u w:val="single"/>
        </w:rPr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separate"/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8270D0" w:rsidRPr="00EC5F3B" w:rsidRDefault="008270D0" w:rsidP="00380331">
      <w:pPr>
        <w:tabs>
          <w:tab w:val="left" w:pos="720"/>
          <w:tab w:val="left" w:pos="2340"/>
          <w:tab w:val="left" w:pos="2880"/>
        </w:tabs>
        <w:ind w:right="-180" w:firstLine="360"/>
        <w:rPr>
          <w:rFonts w:ascii="Arial" w:hAnsi="Arial" w:cs="Arial"/>
          <w:sz w:val="20"/>
          <w:szCs w:val="20"/>
        </w:rPr>
      </w:pPr>
      <w:r w:rsidRPr="00C77DAB">
        <w:rPr>
          <w:rFonts w:ascii="Arial" w:hAnsi="Arial" w:cs="Arial"/>
          <w:i/>
          <w:sz w:val="20"/>
          <w:szCs w:val="20"/>
        </w:rPr>
        <w:t>Unit</w:t>
      </w:r>
      <w:r w:rsidR="00D358BD">
        <w:rPr>
          <w:rFonts w:ascii="Arial" w:hAnsi="Arial" w:cs="Arial"/>
          <w:i/>
          <w:sz w:val="20"/>
          <w:szCs w:val="20"/>
        </w:rPr>
        <w:t>/suite</w:t>
      </w:r>
      <w:r w:rsidRPr="00C77DAB">
        <w:rPr>
          <w:rFonts w:ascii="Arial" w:hAnsi="Arial" w:cs="Arial"/>
          <w:i/>
          <w:sz w:val="20"/>
          <w:szCs w:val="20"/>
        </w:rPr>
        <w:t xml:space="preserve"> numbe</w:t>
      </w:r>
      <w:r w:rsidRPr="00EC5F3B">
        <w:rPr>
          <w:rFonts w:ascii="Arial" w:hAnsi="Arial" w:cs="Arial"/>
          <w:sz w:val="20"/>
          <w:szCs w:val="20"/>
        </w:rPr>
        <w:t>r:</w:t>
      </w:r>
      <w:r w:rsidRPr="00EC5F3B">
        <w:rPr>
          <w:rFonts w:ascii="Arial" w:hAnsi="Arial" w:cs="Arial"/>
          <w:sz w:val="20"/>
          <w:szCs w:val="20"/>
        </w:rPr>
        <w:tab/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" w:name="Text85"/>
      <w:r w:rsidR="003D6B70" w:rsidRPr="003D6B7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B70" w:rsidRPr="003D6B70">
        <w:rPr>
          <w:rFonts w:ascii="Arial" w:hAnsi="Arial" w:cs="Arial"/>
          <w:sz w:val="20"/>
          <w:szCs w:val="20"/>
          <w:u w:val="single"/>
        </w:rPr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separate"/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8270D0" w:rsidRPr="00557A13" w:rsidRDefault="008270D0" w:rsidP="00380331">
      <w:pPr>
        <w:tabs>
          <w:tab w:val="left" w:pos="720"/>
          <w:tab w:val="left" w:pos="2340"/>
          <w:tab w:val="left" w:pos="2880"/>
        </w:tabs>
        <w:ind w:right="-180" w:firstLine="360"/>
        <w:rPr>
          <w:rFonts w:ascii="Arial" w:hAnsi="Arial" w:cs="Arial"/>
          <w:i/>
          <w:sz w:val="20"/>
          <w:szCs w:val="20"/>
        </w:rPr>
      </w:pPr>
      <w:r w:rsidRPr="00C77DAB">
        <w:rPr>
          <w:rFonts w:ascii="Arial" w:hAnsi="Arial" w:cs="Arial"/>
          <w:i/>
          <w:sz w:val="20"/>
          <w:szCs w:val="20"/>
        </w:rPr>
        <w:t>City, state, zip code</w:t>
      </w:r>
      <w:r w:rsidRPr="00EC5F3B">
        <w:rPr>
          <w:rFonts w:ascii="Arial" w:hAnsi="Arial" w:cs="Arial"/>
          <w:sz w:val="20"/>
          <w:szCs w:val="20"/>
        </w:rPr>
        <w:t>:</w:t>
      </w:r>
      <w:r w:rsidRPr="00557A13">
        <w:rPr>
          <w:rFonts w:ascii="Arial" w:hAnsi="Arial" w:cs="Arial"/>
          <w:i/>
          <w:sz w:val="20"/>
          <w:szCs w:val="20"/>
        </w:rPr>
        <w:tab/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3D6B70" w:rsidRPr="003D6B7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6B70" w:rsidRPr="003D6B70">
        <w:rPr>
          <w:rFonts w:ascii="Arial" w:hAnsi="Arial" w:cs="Arial"/>
          <w:sz w:val="20"/>
          <w:szCs w:val="20"/>
          <w:u w:val="single"/>
        </w:rPr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separate"/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</w:t>
      </w:r>
      <w:r w:rsidR="003D6B70" w:rsidRPr="003D6B70">
        <w:rPr>
          <w:rFonts w:ascii="Arial" w:hAnsi="Arial" w:cs="Arial"/>
          <w:noProof/>
          <w:sz w:val="20"/>
          <w:szCs w:val="20"/>
          <w:u w:val="single"/>
        </w:rPr>
        <w:t> </w:t>
      </w:r>
      <w:r w:rsidR="003D6B70" w:rsidRPr="003D6B7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270D0" w:rsidRPr="00557A13" w:rsidRDefault="008270D0" w:rsidP="008270D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8270D0" w:rsidRPr="00557A13" w:rsidRDefault="008270D0" w:rsidP="008270D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557A13">
        <w:rPr>
          <w:rFonts w:ascii="Arial" w:hAnsi="Arial" w:cs="Arial"/>
          <w:sz w:val="20"/>
          <w:szCs w:val="20"/>
        </w:rPr>
        <w:t>Legal description or document recording number (including county of recording):</w:t>
      </w:r>
    </w:p>
    <w:p w:rsidR="00FF0AB7" w:rsidRDefault="00FF0AB7" w:rsidP="003D6B70">
      <w:pPr>
        <w:widowControl w:val="0"/>
        <w:tabs>
          <w:tab w:val="left" w:pos="360"/>
          <w:tab w:val="left" w:pos="3240"/>
          <w:tab w:val="left" w:pos="59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D6B70" w:rsidRDefault="003D6B70" w:rsidP="003D6B70">
      <w:pPr>
        <w:widowControl w:val="0"/>
        <w:tabs>
          <w:tab w:val="left" w:pos="360"/>
          <w:tab w:val="left" w:pos="3240"/>
          <w:tab w:val="left" w:pos="59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D6B70" w:rsidRDefault="003D6B70" w:rsidP="003D6B70">
      <w:pPr>
        <w:widowControl w:val="0"/>
        <w:tabs>
          <w:tab w:val="left" w:pos="360"/>
          <w:tab w:val="left" w:pos="3240"/>
          <w:tab w:val="left" w:pos="594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270D0" w:rsidRDefault="008270D0" w:rsidP="008270D0">
      <w:pPr>
        <w:widowControl w:val="0"/>
        <w:tabs>
          <w:tab w:val="left" w:pos="360"/>
          <w:tab w:val="left" w:pos="324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7A13">
        <w:rPr>
          <w:rFonts w:ascii="Arial" w:hAnsi="Arial" w:cs="Arial"/>
          <w:sz w:val="20"/>
          <w:szCs w:val="20"/>
        </w:rPr>
        <w:tab/>
      </w:r>
      <w:r w:rsidRPr="00557A1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7A1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557A13">
        <w:rPr>
          <w:rFonts w:ascii="Arial" w:hAnsi="Arial" w:cs="Arial"/>
          <w:sz w:val="20"/>
          <w:szCs w:val="20"/>
        </w:rPr>
        <w:fldChar w:fldCharType="end"/>
      </w:r>
      <w:r w:rsidRPr="00557A13">
        <w:rPr>
          <w:rFonts w:ascii="Arial" w:hAnsi="Arial" w:cs="Arial"/>
          <w:sz w:val="20"/>
          <w:szCs w:val="20"/>
        </w:rPr>
        <w:t xml:space="preserve"> See attached page. </w:t>
      </w:r>
    </w:p>
    <w:p w:rsidR="00DA50BF" w:rsidRDefault="003D6B70" w:rsidP="00700D5A">
      <w:pPr>
        <w:widowControl w:val="0"/>
        <w:numPr>
          <w:ilvl w:val="0"/>
          <w:numId w:val="8"/>
        </w:numPr>
        <w:tabs>
          <w:tab w:val="left" w:pos="36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270D0" w:rsidRPr="00557A13">
        <w:rPr>
          <w:rFonts w:ascii="Arial" w:hAnsi="Arial" w:cs="Arial"/>
          <w:sz w:val="20"/>
          <w:szCs w:val="20"/>
        </w:rPr>
        <w:lastRenderedPageBreak/>
        <w:t>The Motion is granted under:</w:t>
      </w:r>
    </w:p>
    <w:p w:rsidR="00D627B9" w:rsidRDefault="00A97B56" w:rsidP="00700D5A">
      <w:pPr>
        <w:widowControl w:val="0"/>
        <w:tabs>
          <w:tab w:val="left" w:pos="360"/>
          <w:tab w:val="left" w:pos="720"/>
          <w:tab w:val="left" w:pos="108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D627B9" w:rsidRPr="00557A13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627B9" w:rsidRPr="00557A1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D627B9" w:rsidRPr="00557A13">
        <w:rPr>
          <w:rFonts w:ascii="Arial" w:hAnsi="Arial" w:cs="Arial"/>
          <w:sz w:val="20"/>
          <w:szCs w:val="20"/>
        </w:rPr>
        <w:fldChar w:fldCharType="end"/>
      </w:r>
      <w:r w:rsidR="00D627B9">
        <w:rPr>
          <w:rFonts w:ascii="Arial" w:hAnsi="Arial" w:cs="Arial"/>
          <w:sz w:val="20"/>
          <w:szCs w:val="20"/>
        </w:rPr>
        <w:tab/>
      </w:r>
      <w:r w:rsidR="00D627B9" w:rsidRPr="00557A13">
        <w:rPr>
          <w:rFonts w:ascii="Arial" w:hAnsi="Arial" w:cs="Arial"/>
          <w:sz w:val="20"/>
          <w:szCs w:val="20"/>
        </w:rPr>
        <w:t>11 U.S.C. § 362(d)(1)</w:t>
      </w:r>
    </w:p>
    <w:p w:rsidR="00D627B9" w:rsidRDefault="00A97B56" w:rsidP="00700D5A">
      <w:pPr>
        <w:widowControl w:val="0"/>
        <w:tabs>
          <w:tab w:val="left" w:pos="360"/>
          <w:tab w:val="left" w:pos="720"/>
          <w:tab w:val="left" w:pos="108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8270D0" w:rsidRPr="00C77DAB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270D0" w:rsidRPr="00C77DAB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8270D0" w:rsidRPr="00C77DAB">
        <w:rPr>
          <w:rFonts w:ascii="Arial" w:hAnsi="Arial" w:cs="Arial"/>
          <w:sz w:val="20"/>
          <w:szCs w:val="20"/>
        </w:rPr>
        <w:fldChar w:fldCharType="end"/>
      </w:r>
      <w:r w:rsidR="00D627B9" w:rsidRPr="00C77DAB">
        <w:rPr>
          <w:rFonts w:ascii="Arial" w:hAnsi="Arial" w:cs="Arial"/>
          <w:sz w:val="20"/>
          <w:szCs w:val="20"/>
        </w:rPr>
        <w:tab/>
      </w:r>
      <w:r w:rsidR="008270D0" w:rsidRPr="00C77DAB">
        <w:rPr>
          <w:rFonts w:ascii="Arial" w:hAnsi="Arial" w:cs="Arial"/>
          <w:sz w:val="20"/>
          <w:szCs w:val="20"/>
        </w:rPr>
        <w:t>11 U.S.C. § 362(d)(2)</w:t>
      </w:r>
    </w:p>
    <w:p w:rsidR="00D627B9" w:rsidRDefault="00A97B56" w:rsidP="00700D5A">
      <w:pPr>
        <w:widowControl w:val="0"/>
        <w:tabs>
          <w:tab w:val="left" w:pos="360"/>
          <w:tab w:val="left" w:pos="720"/>
          <w:tab w:val="left" w:pos="108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8270D0" w:rsidRPr="00D627B9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270D0" w:rsidRPr="00D627B9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8270D0" w:rsidRPr="00D627B9">
        <w:rPr>
          <w:rFonts w:ascii="Arial" w:hAnsi="Arial" w:cs="Arial"/>
          <w:sz w:val="20"/>
          <w:szCs w:val="20"/>
        </w:rPr>
        <w:fldChar w:fldCharType="end"/>
      </w:r>
      <w:r w:rsidR="00D627B9" w:rsidRPr="00D627B9">
        <w:rPr>
          <w:rFonts w:ascii="Arial" w:hAnsi="Arial" w:cs="Arial"/>
          <w:sz w:val="20"/>
          <w:szCs w:val="20"/>
        </w:rPr>
        <w:tab/>
        <w:t>11 U.S.C. § 362(d)(3)</w:t>
      </w:r>
    </w:p>
    <w:p w:rsidR="00A65972" w:rsidRDefault="00A97B56" w:rsidP="00346A33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70"/>
          <w:tab w:val="left" w:pos="3240"/>
          <w:tab w:val="left" w:pos="3780"/>
          <w:tab w:val="left" w:pos="4140"/>
          <w:tab w:val="left" w:pos="5940"/>
          <w:tab w:val="left" w:pos="6390"/>
          <w:tab w:val="left" w:pos="6750"/>
          <w:tab w:val="left" w:pos="7020"/>
          <w:tab w:val="left" w:pos="8100"/>
        </w:tabs>
        <w:autoSpaceDE w:val="0"/>
        <w:autoSpaceDN w:val="0"/>
        <w:adjustRightInd w:val="0"/>
        <w:spacing w:after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Pr="00A97B56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7B56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A97B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293CA0" w:rsidRPr="001D0B27">
        <w:rPr>
          <w:rFonts w:ascii="Arial" w:hAnsi="Arial" w:cs="Arial"/>
          <w:sz w:val="20"/>
          <w:szCs w:val="20"/>
        </w:rPr>
        <w:t>11 U.S.C. § 362(d)(4)</w:t>
      </w:r>
      <w:r w:rsidR="00346A33">
        <w:rPr>
          <w:rFonts w:ascii="Arial" w:hAnsi="Arial" w:cs="Arial"/>
          <w:sz w:val="20"/>
          <w:szCs w:val="20"/>
        </w:rPr>
        <w:t xml:space="preserve">.  </w:t>
      </w:r>
      <w:r w:rsidR="00E25A47">
        <w:rPr>
          <w:rFonts w:ascii="Arial" w:hAnsi="Arial" w:cs="Arial"/>
          <w:sz w:val="20"/>
          <w:szCs w:val="20"/>
        </w:rPr>
        <w:t>T</w:t>
      </w:r>
      <w:r w:rsidR="00514F2C">
        <w:rPr>
          <w:rFonts w:ascii="Arial" w:hAnsi="Arial" w:cs="Arial"/>
          <w:sz w:val="20"/>
          <w:szCs w:val="20"/>
        </w:rPr>
        <w:t>he</w:t>
      </w:r>
      <w:r w:rsidR="00514F2C" w:rsidRPr="00514F2C">
        <w:rPr>
          <w:rFonts w:ascii="Arial" w:hAnsi="Arial" w:cs="Arial"/>
          <w:sz w:val="20"/>
          <w:szCs w:val="20"/>
        </w:rPr>
        <w:t xml:space="preserve"> </w:t>
      </w:r>
      <w:r w:rsidR="00514F2C">
        <w:rPr>
          <w:rFonts w:ascii="Arial" w:hAnsi="Arial" w:cs="Arial"/>
          <w:sz w:val="20"/>
          <w:szCs w:val="20"/>
        </w:rPr>
        <w:t xml:space="preserve">filing of the </w:t>
      </w:r>
      <w:r w:rsidR="0014673B">
        <w:rPr>
          <w:rFonts w:ascii="Arial" w:hAnsi="Arial" w:cs="Arial"/>
          <w:sz w:val="20"/>
          <w:szCs w:val="20"/>
        </w:rPr>
        <w:t xml:space="preserve">bankruptcy </w:t>
      </w:r>
      <w:r w:rsidR="00514F2C">
        <w:rPr>
          <w:rFonts w:ascii="Arial" w:hAnsi="Arial" w:cs="Arial"/>
          <w:sz w:val="20"/>
          <w:szCs w:val="20"/>
        </w:rPr>
        <w:t>petition was part of a scheme to hinder, delay, or defraud creditors that involved</w:t>
      </w:r>
      <w:r w:rsidR="00A65972">
        <w:rPr>
          <w:rFonts w:ascii="Arial" w:hAnsi="Arial" w:cs="Arial"/>
          <w:sz w:val="20"/>
          <w:szCs w:val="20"/>
        </w:rPr>
        <w:t>:</w:t>
      </w:r>
      <w:r w:rsidR="00514F2C">
        <w:rPr>
          <w:rFonts w:ascii="Arial" w:hAnsi="Arial" w:cs="Arial"/>
          <w:sz w:val="20"/>
          <w:szCs w:val="20"/>
        </w:rPr>
        <w:t xml:space="preserve"> </w:t>
      </w:r>
    </w:p>
    <w:p w:rsidR="00E25A47" w:rsidRDefault="00A65972" w:rsidP="00700D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</w:r>
      <w:r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F64F5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</w:t>
      </w:r>
      <w:r w:rsidR="00E25A47">
        <w:rPr>
          <w:rFonts w:ascii="Arial" w:hAnsi="Arial" w:cs="Arial"/>
          <w:sz w:val="20"/>
          <w:szCs w:val="20"/>
        </w:rPr>
        <w:t xml:space="preserve">he transfer of all or part ownership of, or other interest in, </w:t>
      </w:r>
      <w:r w:rsidR="00CA203F">
        <w:rPr>
          <w:rFonts w:ascii="Arial" w:hAnsi="Arial" w:cs="Arial"/>
          <w:sz w:val="20"/>
          <w:szCs w:val="20"/>
        </w:rPr>
        <w:t>the</w:t>
      </w:r>
      <w:r w:rsidR="00E25A47">
        <w:rPr>
          <w:rFonts w:ascii="Arial" w:hAnsi="Arial" w:cs="Arial"/>
          <w:sz w:val="20"/>
          <w:szCs w:val="20"/>
        </w:rPr>
        <w:t xml:space="preserve"> </w:t>
      </w:r>
      <w:r w:rsidR="00CA203F">
        <w:rPr>
          <w:rFonts w:ascii="Arial" w:hAnsi="Arial" w:cs="Arial"/>
          <w:sz w:val="20"/>
          <w:szCs w:val="20"/>
        </w:rPr>
        <w:t>P</w:t>
      </w:r>
      <w:r w:rsidR="00E25A47">
        <w:rPr>
          <w:rFonts w:ascii="Arial" w:hAnsi="Arial" w:cs="Arial"/>
          <w:sz w:val="20"/>
          <w:szCs w:val="20"/>
        </w:rPr>
        <w:t>roperty without the consent of the secured creditor or court approval</w:t>
      </w:r>
      <w:r>
        <w:rPr>
          <w:rFonts w:ascii="Arial" w:hAnsi="Arial" w:cs="Arial"/>
          <w:sz w:val="20"/>
          <w:szCs w:val="20"/>
        </w:rPr>
        <w:t>; and/or</w:t>
      </w:r>
    </w:p>
    <w:p w:rsidR="00E25A47" w:rsidRDefault="00D65306" w:rsidP="00700D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3060"/>
          <w:tab w:val="left" w:pos="5580"/>
          <w:tab w:val="left" w:pos="8100"/>
        </w:tabs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967241">
        <w:rPr>
          <w:rFonts w:ascii="Arial" w:hAnsi="Arial" w:cs="Arial"/>
          <w:sz w:val="20"/>
          <w:szCs w:val="20"/>
        </w:rPr>
        <w:tab/>
      </w:r>
      <w:r w:rsidR="00E25A47"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5A47"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E25A47" w:rsidRPr="00F64F50">
        <w:rPr>
          <w:rFonts w:ascii="Arial" w:hAnsi="Arial" w:cs="Arial"/>
          <w:sz w:val="20"/>
          <w:szCs w:val="20"/>
        </w:rPr>
        <w:fldChar w:fldCharType="end"/>
      </w:r>
      <w:r w:rsidR="00E25A47">
        <w:rPr>
          <w:rFonts w:ascii="Arial" w:hAnsi="Arial" w:cs="Arial"/>
          <w:sz w:val="20"/>
          <w:szCs w:val="20"/>
        </w:rPr>
        <w:tab/>
        <w:t xml:space="preserve">Multiple bankruptcy </w:t>
      </w:r>
      <w:r w:rsidR="00247634">
        <w:rPr>
          <w:rFonts w:ascii="Arial" w:hAnsi="Arial" w:cs="Arial"/>
          <w:sz w:val="20"/>
          <w:szCs w:val="20"/>
        </w:rPr>
        <w:t>case</w:t>
      </w:r>
      <w:r w:rsidR="00E25A47">
        <w:rPr>
          <w:rFonts w:ascii="Arial" w:hAnsi="Arial" w:cs="Arial"/>
          <w:sz w:val="20"/>
          <w:szCs w:val="20"/>
        </w:rPr>
        <w:t xml:space="preserve">s affecting </w:t>
      </w:r>
      <w:r w:rsidR="00CA203F">
        <w:rPr>
          <w:rFonts w:ascii="Arial" w:hAnsi="Arial" w:cs="Arial"/>
          <w:sz w:val="20"/>
          <w:szCs w:val="20"/>
        </w:rPr>
        <w:t>the</w:t>
      </w:r>
      <w:r w:rsidR="00E25A47">
        <w:rPr>
          <w:rFonts w:ascii="Arial" w:hAnsi="Arial" w:cs="Arial"/>
          <w:sz w:val="20"/>
          <w:szCs w:val="20"/>
        </w:rPr>
        <w:t xml:space="preserve"> </w:t>
      </w:r>
      <w:r w:rsidR="00CA203F">
        <w:rPr>
          <w:rFonts w:ascii="Arial" w:hAnsi="Arial" w:cs="Arial"/>
          <w:sz w:val="20"/>
          <w:szCs w:val="20"/>
        </w:rPr>
        <w:t>P</w:t>
      </w:r>
      <w:r w:rsidR="00E25A47">
        <w:rPr>
          <w:rFonts w:ascii="Arial" w:hAnsi="Arial" w:cs="Arial"/>
          <w:sz w:val="20"/>
          <w:szCs w:val="20"/>
        </w:rPr>
        <w:t>roperty</w:t>
      </w:r>
      <w:r w:rsidR="00214AB9">
        <w:rPr>
          <w:rFonts w:ascii="Arial" w:hAnsi="Arial" w:cs="Arial"/>
          <w:sz w:val="20"/>
          <w:szCs w:val="20"/>
        </w:rPr>
        <w:t>.</w:t>
      </w:r>
    </w:p>
    <w:p w:rsidR="00E25A47" w:rsidRDefault="00D65306" w:rsidP="00700D5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060"/>
          <w:tab w:val="left" w:pos="3600"/>
          <w:tab w:val="left" w:pos="5400"/>
          <w:tab w:val="left" w:pos="5490"/>
          <w:tab w:val="left" w:pos="8100"/>
        </w:tabs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="00967241">
        <w:rPr>
          <w:rFonts w:ascii="Arial" w:hAnsi="Arial" w:cs="Arial"/>
          <w:sz w:val="20"/>
          <w:szCs w:val="20"/>
        </w:rPr>
        <w:tab/>
      </w:r>
      <w:r w:rsidR="00E25A47"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5A47"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E25A47" w:rsidRPr="00F64F50">
        <w:rPr>
          <w:rFonts w:ascii="Arial" w:hAnsi="Arial" w:cs="Arial"/>
          <w:sz w:val="20"/>
          <w:szCs w:val="20"/>
        </w:rPr>
        <w:fldChar w:fldCharType="end"/>
      </w:r>
      <w:r w:rsidR="00E25A47">
        <w:rPr>
          <w:rFonts w:ascii="Arial" w:hAnsi="Arial" w:cs="Arial"/>
          <w:sz w:val="20"/>
          <w:szCs w:val="20"/>
        </w:rPr>
        <w:tab/>
        <w:t xml:space="preserve">The court </w:t>
      </w:r>
      <w:r w:rsidR="00E25A47">
        <w:rPr>
          <w:rFonts w:ascii="Arial" w:hAnsi="Arial" w:cs="Arial"/>
          <w:sz w:val="20"/>
          <w:szCs w:val="20"/>
        </w:rPr>
        <w:tab/>
      </w:r>
      <w:r w:rsidR="00E25A47"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5A47"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E25A47" w:rsidRPr="00F64F50">
        <w:rPr>
          <w:rFonts w:ascii="Arial" w:hAnsi="Arial" w:cs="Arial"/>
          <w:sz w:val="20"/>
          <w:szCs w:val="20"/>
        </w:rPr>
        <w:fldChar w:fldCharType="end"/>
      </w:r>
      <w:r w:rsidR="00E25A47">
        <w:rPr>
          <w:rFonts w:ascii="Arial" w:hAnsi="Arial" w:cs="Arial"/>
          <w:sz w:val="20"/>
          <w:szCs w:val="20"/>
        </w:rPr>
        <w:t xml:space="preserve"> mak</w:t>
      </w:r>
      <w:r w:rsidR="005B36AE">
        <w:rPr>
          <w:rFonts w:ascii="Arial" w:hAnsi="Arial" w:cs="Arial"/>
          <w:sz w:val="20"/>
          <w:szCs w:val="20"/>
        </w:rPr>
        <w:t>es</w:t>
      </w:r>
      <w:r w:rsidR="00E25A47">
        <w:rPr>
          <w:rFonts w:ascii="Arial" w:hAnsi="Arial" w:cs="Arial"/>
          <w:sz w:val="20"/>
          <w:szCs w:val="20"/>
        </w:rPr>
        <w:tab/>
      </w:r>
      <w:r w:rsidR="00E25A47"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5A47"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E25A47" w:rsidRPr="00F64F50">
        <w:rPr>
          <w:rFonts w:ascii="Arial" w:hAnsi="Arial" w:cs="Arial"/>
          <w:sz w:val="20"/>
          <w:szCs w:val="20"/>
        </w:rPr>
        <w:fldChar w:fldCharType="end"/>
      </w:r>
      <w:r w:rsidR="00E25A47">
        <w:rPr>
          <w:rFonts w:ascii="Arial" w:hAnsi="Arial" w:cs="Arial"/>
          <w:sz w:val="20"/>
          <w:szCs w:val="20"/>
        </w:rPr>
        <w:t xml:space="preserve"> does not make</w:t>
      </w:r>
      <w:r w:rsidR="00E25A47">
        <w:rPr>
          <w:rFonts w:ascii="Arial" w:hAnsi="Arial" w:cs="Arial"/>
          <w:sz w:val="20"/>
          <w:szCs w:val="20"/>
        </w:rPr>
        <w:tab/>
      </w:r>
      <w:r w:rsidR="00E25A47" w:rsidRPr="00F64F5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5A47" w:rsidRPr="00F64F50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="00E25A47" w:rsidRPr="00F64F50">
        <w:rPr>
          <w:rFonts w:ascii="Arial" w:hAnsi="Arial" w:cs="Arial"/>
          <w:sz w:val="20"/>
          <w:szCs w:val="20"/>
        </w:rPr>
        <w:fldChar w:fldCharType="end"/>
      </w:r>
      <w:r w:rsidR="00E25A47">
        <w:rPr>
          <w:rFonts w:ascii="Arial" w:hAnsi="Arial" w:cs="Arial"/>
          <w:sz w:val="20"/>
          <w:szCs w:val="20"/>
        </w:rPr>
        <w:t xml:space="preserve"> cannot make </w:t>
      </w:r>
      <w:r w:rsidR="004D736E">
        <w:rPr>
          <w:rFonts w:ascii="Arial" w:hAnsi="Arial" w:cs="Arial"/>
          <w:sz w:val="20"/>
          <w:szCs w:val="20"/>
        </w:rPr>
        <w:t xml:space="preserve"> </w:t>
      </w:r>
      <w:r w:rsidR="00F261B1">
        <w:rPr>
          <w:rFonts w:ascii="Arial" w:hAnsi="Arial" w:cs="Arial"/>
          <w:sz w:val="20"/>
          <w:szCs w:val="20"/>
        </w:rPr>
        <w:br/>
      </w:r>
      <w:r w:rsidR="00E25A47">
        <w:rPr>
          <w:rFonts w:ascii="Arial" w:hAnsi="Arial" w:cs="Arial"/>
          <w:sz w:val="20"/>
          <w:szCs w:val="20"/>
        </w:rPr>
        <w:t>a finding that the Debtor was involved in this scheme.</w:t>
      </w:r>
    </w:p>
    <w:p w:rsidR="00E25A47" w:rsidRPr="000823A0" w:rsidRDefault="00D65306" w:rsidP="00EF181A">
      <w:pPr>
        <w:widowControl w:val="0"/>
        <w:tabs>
          <w:tab w:val="left" w:pos="360"/>
          <w:tab w:val="left" w:pos="720"/>
          <w:tab w:val="left" w:pos="1080"/>
          <w:tab w:val="left" w:pos="1620"/>
          <w:tab w:val="left" w:pos="2880"/>
          <w:tab w:val="left" w:pos="3060"/>
          <w:tab w:val="left" w:pos="4320"/>
          <w:tab w:val="left" w:pos="5580"/>
          <w:tab w:val="left" w:pos="6120"/>
          <w:tab w:val="left" w:pos="8100"/>
        </w:tabs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 w:rsidR="00967241">
        <w:rPr>
          <w:rFonts w:ascii="Arial" w:hAnsi="Arial" w:cs="Arial"/>
          <w:sz w:val="20"/>
          <w:szCs w:val="20"/>
        </w:rPr>
        <w:tab/>
      </w:r>
      <w:r w:rsidR="00E25A47">
        <w:rPr>
          <w:rFonts w:ascii="Arial" w:hAnsi="Arial" w:cs="Arial"/>
          <w:sz w:val="20"/>
          <w:szCs w:val="20"/>
        </w:rPr>
        <w:t xml:space="preserve">If recorded in compliance with applicable </w:t>
      </w:r>
      <w:r w:rsidR="00380331">
        <w:rPr>
          <w:rFonts w:ascii="Arial" w:hAnsi="Arial" w:cs="Arial"/>
          <w:sz w:val="20"/>
          <w:szCs w:val="20"/>
        </w:rPr>
        <w:t>s</w:t>
      </w:r>
      <w:r w:rsidR="00E25A47">
        <w:rPr>
          <w:rFonts w:ascii="Arial" w:hAnsi="Arial" w:cs="Arial"/>
          <w:sz w:val="20"/>
          <w:szCs w:val="20"/>
        </w:rPr>
        <w:t xml:space="preserve">tate laws governing notices of interests or liens in real property, </w:t>
      </w:r>
      <w:r w:rsidR="00CA6579">
        <w:rPr>
          <w:rFonts w:ascii="Arial" w:hAnsi="Arial" w:cs="Arial"/>
          <w:sz w:val="20"/>
          <w:szCs w:val="20"/>
        </w:rPr>
        <w:t>this order</w:t>
      </w:r>
      <w:r w:rsidR="00E25A47">
        <w:rPr>
          <w:rFonts w:ascii="Arial" w:hAnsi="Arial" w:cs="Arial"/>
          <w:sz w:val="20"/>
          <w:szCs w:val="20"/>
        </w:rPr>
        <w:t xml:space="preserve"> shall be binding in any other case under this title purporting to affect </w:t>
      </w:r>
      <w:r w:rsidR="00CA203F">
        <w:rPr>
          <w:rFonts w:ascii="Arial" w:hAnsi="Arial" w:cs="Arial"/>
          <w:sz w:val="20"/>
          <w:szCs w:val="20"/>
        </w:rPr>
        <w:t>the</w:t>
      </w:r>
      <w:r w:rsidR="00E25A47">
        <w:rPr>
          <w:rFonts w:ascii="Arial" w:hAnsi="Arial" w:cs="Arial"/>
          <w:sz w:val="20"/>
          <w:szCs w:val="20"/>
        </w:rPr>
        <w:t xml:space="preserve"> </w:t>
      </w:r>
      <w:r w:rsidR="00CA203F">
        <w:rPr>
          <w:rFonts w:ascii="Arial" w:hAnsi="Arial" w:cs="Arial"/>
          <w:sz w:val="20"/>
          <w:szCs w:val="20"/>
        </w:rPr>
        <w:t>P</w:t>
      </w:r>
      <w:r w:rsidR="00E25A47">
        <w:rPr>
          <w:rFonts w:ascii="Arial" w:hAnsi="Arial" w:cs="Arial"/>
          <w:sz w:val="20"/>
          <w:szCs w:val="20"/>
        </w:rPr>
        <w:t xml:space="preserve">roperty filed not later than 2 years after the date of the entry of </w:t>
      </w:r>
      <w:r w:rsidR="00440A07">
        <w:rPr>
          <w:rFonts w:ascii="Arial" w:hAnsi="Arial" w:cs="Arial"/>
          <w:sz w:val="20"/>
          <w:szCs w:val="20"/>
        </w:rPr>
        <w:t xml:space="preserve">this </w:t>
      </w:r>
      <w:r w:rsidR="00E25A47">
        <w:rPr>
          <w:rFonts w:ascii="Arial" w:hAnsi="Arial" w:cs="Arial"/>
          <w:sz w:val="20"/>
          <w:szCs w:val="20"/>
        </w:rPr>
        <w:t xml:space="preserve">order by the court, except that a debtor in a subsequent case under this title may move for relief from </w:t>
      </w:r>
      <w:r w:rsidR="00440A07">
        <w:rPr>
          <w:rFonts w:ascii="Arial" w:hAnsi="Arial" w:cs="Arial"/>
          <w:sz w:val="20"/>
          <w:szCs w:val="20"/>
        </w:rPr>
        <w:t xml:space="preserve">this </w:t>
      </w:r>
      <w:r w:rsidR="00E25A47">
        <w:rPr>
          <w:rFonts w:ascii="Arial" w:hAnsi="Arial" w:cs="Arial"/>
          <w:sz w:val="20"/>
          <w:szCs w:val="20"/>
        </w:rPr>
        <w:t>order based upon changed circumstances or for good cause shown, after notice and a hearing.</w:t>
      </w:r>
      <w:r w:rsidR="001F3A05">
        <w:rPr>
          <w:rFonts w:ascii="Arial" w:hAnsi="Arial" w:cs="Arial"/>
          <w:sz w:val="20"/>
          <w:szCs w:val="20"/>
        </w:rPr>
        <w:t xml:space="preserve">  Any federal, state or local government unit that accepts notices of interests or liens in real property shall accept any certified copy of this </w:t>
      </w:r>
      <w:r w:rsidR="00C14CCF">
        <w:rPr>
          <w:rFonts w:ascii="Arial" w:hAnsi="Arial" w:cs="Arial"/>
          <w:sz w:val="20"/>
          <w:szCs w:val="20"/>
        </w:rPr>
        <w:t>o</w:t>
      </w:r>
      <w:r w:rsidR="001F3A05">
        <w:rPr>
          <w:rFonts w:ascii="Arial" w:hAnsi="Arial" w:cs="Arial"/>
          <w:sz w:val="20"/>
          <w:szCs w:val="20"/>
        </w:rPr>
        <w:t>rder for indexing and recording.</w:t>
      </w:r>
    </w:p>
    <w:p w:rsidR="008270D0" w:rsidRPr="00CB5473" w:rsidRDefault="008270D0" w:rsidP="00700D5A">
      <w:pPr>
        <w:pStyle w:val="ListParagraph"/>
        <w:rPr>
          <w:rFonts w:ascii="Arial" w:hAnsi="Arial" w:cs="Arial"/>
          <w:sz w:val="20"/>
          <w:szCs w:val="20"/>
        </w:rPr>
      </w:pPr>
    </w:p>
    <w:p w:rsidR="008270D0" w:rsidRDefault="00353BF7" w:rsidP="00700D5A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="00205B58">
        <w:rPr>
          <w:rFonts w:ascii="Arial" w:hAnsi="Arial" w:cs="Arial"/>
          <w:sz w:val="20"/>
          <w:szCs w:val="20"/>
        </w:rPr>
        <w:tab/>
      </w:r>
      <w:r w:rsidR="008270D0" w:rsidRPr="00CB5473">
        <w:rPr>
          <w:rFonts w:ascii="Arial" w:hAnsi="Arial" w:cs="Arial"/>
          <w:sz w:val="20"/>
          <w:szCs w:val="20"/>
        </w:rPr>
        <w:t>As to Movant, its successors, transferees and assigns, the stay of 11 U.S.C. § 362(a) is:</w:t>
      </w:r>
    </w:p>
    <w:p w:rsidR="004E049D" w:rsidRPr="00A048F9" w:rsidRDefault="008270D0" w:rsidP="00700D5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ind w:left="360" w:firstLine="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bookmarkEnd w:id="6"/>
      <w:r w:rsidRPr="00CB5473">
        <w:rPr>
          <w:rFonts w:ascii="Arial" w:hAnsi="Arial" w:cs="Arial"/>
          <w:sz w:val="20"/>
          <w:szCs w:val="20"/>
        </w:rPr>
        <w:tab/>
        <w:t xml:space="preserve">Terminated as to </w:t>
      </w:r>
      <w:r w:rsidR="002364A4">
        <w:rPr>
          <w:rFonts w:ascii="Arial" w:hAnsi="Arial" w:cs="Arial"/>
          <w:sz w:val="20"/>
          <w:szCs w:val="20"/>
        </w:rPr>
        <w:t xml:space="preserve">the </w:t>
      </w:r>
      <w:r w:rsidRPr="00CB5473">
        <w:rPr>
          <w:rFonts w:ascii="Arial" w:hAnsi="Arial" w:cs="Arial"/>
          <w:sz w:val="20"/>
          <w:szCs w:val="20"/>
        </w:rPr>
        <w:t>Debtor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and </w:t>
      </w:r>
      <w:r w:rsidR="002364A4">
        <w:rPr>
          <w:rFonts w:ascii="Arial" w:hAnsi="Arial" w:cs="Arial"/>
          <w:sz w:val="20"/>
          <w:szCs w:val="20"/>
        </w:rPr>
        <w:t xml:space="preserve">the </w:t>
      </w:r>
      <w:r w:rsidRPr="00CB5473">
        <w:rPr>
          <w:rFonts w:ascii="Arial" w:hAnsi="Arial" w:cs="Arial"/>
          <w:sz w:val="20"/>
          <w:szCs w:val="20"/>
        </w:rPr>
        <w:t>Debtor’s bankruptcy estate.</w:t>
      </w:r>
    </w:p>
    <w:p w:rsidR="008270D0" w:rsidRDefault="008270D0" w:rsidP="00700D5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ind w:left="360" w:firstLine="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bookmarkEnd w:id="7"/>
      <w:r w:rsidRPr="00CB5473">
        <w:rPr>
          <w:rFonts w:ascii="Arial" w:hAnsi="Arial" w:cs="Arial"/>
          <w:sz w:val="20"/>
          <w:szCs w:val="20"/>
        </w:rPr>
        <w:tab/>
        <w:t xml:space="preserve">Modified or conditioned as set forth in Exhibit </w:t>
      </w:r>
      <w:r w:rsidR="00E4052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" w:name="Text87"/>
      <w:r w:rsidR="00E4052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052A">
        <w:rPr>
          <w:rFonts w:ascii="Arial" w:hAnsi="Arial" w:cs="Arial"/>
          <w:sz w:val="20"/>
          <w:szCs w:val="20"/>
          <w:u w:val="single"/>
        </w:rPr>
      </w:r>
      <w:r w:rsidR="00E4052A">
        <w:rPr>
          <w:rFonts w:ascii="Arial" w:hAnsi="Arial" w:cs="Arial"/>
          <w:sz w:val="20"/>
          <w:szCs w:val="20"/>
          <w:u w:val="single"/>
        </w:rPr>
        <w:fldChar w:fldCharType="separate"/>
      </w:r>
      <w:r w:rsidR="00E4052A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Pr="00CB5473">
        <w:rPr>
          <w:rFonts w:ascii="Arial" w:hAnsi="Arial" w:cs="Arial"/>
          <w:sz w:val="20"/>
          <w:szCs w:val="20"/>
        </w:rPr>
        <w:t xml:space="preserve"> to this </w:t>
      </w:r>
      <w:r w:rsidR="00C14CCF">
        <w:rPr>
          <w:rFonts w:ascii="Arial" w:hAnsi="Arial" w:cs="Arial"/>
          <w:sz w:val="20"/>
          <w:szCs w:val="20"/>
        </w:rPr>
        <w:t>o</w:t>
      </w:r>
      <w:r w:rsidRPr="00CB5473">
        <w:rPr>
          <w:rFonts w:ascii="Arial" w:hAnsi="Arial" w:cs="Arial"/>
          <w:sz w:val="20"/>
          <w:szCs w:val="20"/>
        </w:rPr>
        <w:t xml:space="preserve">rder.  </w:t>
      </w:r>
    </w:p>
    <w:p w:rsidR="008270D0" w:rsidRDefault="00A24558" w:rsidP="00EF181A">
      <w:pPr>
        <w:widowControl w:val="0"/>
        <w:numPr>
          <w:ilvl w:val="0"/>
          <w:numId w:val="9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</w:r>
      <w:r w:rsidR="00346A33">
        <w:rPr>
          <w:rFonts w:ascii="Arial" w:hAnsi="Arial" w:cs="Arial"/>
          <w:sz w:val="20"/>
          <w:szCs w:val="20"/>
        </w:rPr>
        <w:t>A</w:t>
      </w:r>
      <w:r w:rsidRPr="002236DD">
        <w:rPr>
          <w:rFonts w:ascii="Arial" w:hAnsi="Arial" w:cs="Arial"/>
          <w:sz w:val="20"/>
          <w:szCs w:val="20"/>
        </w:rPr>
        <w:t xml:space="preserve">nnulled retroactively to the </w:t>
      </w:r>
      <w:r w:rsidR="0014673B">
        <w:rPr>
          <w:rFonts w:ascii="Arial" w:hAnsi="Arial" w:cs="Arial"/>
          <w:sz w:val="20"/>
          <w:szCs w:val="20"/>
        </w:rPr>
        <w:t xml:space="preserve">bankruptcy </w:t>
      </w:r>
      <w:r w:rsidRPr="002236DD">
        <w:rPr>
          <w:rFonts w:ascii="Arial" w:hAnsi="Arial" w:cs="Arial"/>
          <w:sz w:val="20"/>
          <w:szCs w:val="20"/>
        </w:rPr>
        <w:t xml:space="preserve">petition date.  Any postpetition acts taken by Movant to enforce its remedies regarding the Property </w:t>
      </w:r>
      <w:r w:rsidR="00CD13DC">
        <w:rPr>
          <w:rFonts w:ascii="Arial" w:hAnsi="Arial" w:cs="Arial"/>
          <w:sz w:val="20"/>
          <w:szCs w:val="20"/>
        </w:rPr>
        <w:t>do</w:t>
      </w:r>
      <w:r w:rsidRPr="002236DD">
        <w:rPr>
          <w:rFonts w:ascii="Arial" w:hAnsi="Arial" w:cs="Arial"/>
          <w:sz w:val="20"/>
          <w:szCs w:val="20"/>
        </w:rPr>
        <w:t xml:space="preserve"> not constitute a violation of the stay.</w:t>
      </w:r>
    </w:p>
    <w:p w:rsidR="00A24558" w:rsidRPr="00A24558" w:rsidRDefault="00A24558" w:rsidP="00EF181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8270D0" w:rsidRPr="00CB5473" w:rsidRDefault="008270D0" w:rsidP="00EF181A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bookmarkEnd w:id="9"/>
      <w:r w:rsidRPr="00CB5473">
        <w:rPr>
          <w:rFonts w:ascii="Arial" w:hAnsi="Arial" w:cs="Arial"/>
          <w:sz w:val="20"/>
          <w:szCs w:val="20"/>
        </w:rPr>
        <w:tab/>
        <w:t>Movant may enforce its remedies to foreclose upon and obtain possession of the Property in accordance with applicable nonbankruptcy law, but may not pursue any defic</w:t>
      </w:r>
      <w:r>
        <w:rPr>
          <w:rFonts w:ascii="Arial" w:hAnsi="Arial" w:cs="Arial"/>
          <w:sz w:val="20"/>
          <w:szCs w:val="20"/>
        </w:rPr>
        <w:t xml:space="preserve">iency claim against the Debtor </w:t>
      </w:r>
      <w:r w:rsidRPr="00CB5473">
        <w:rPr>
          <w:rFonts w:ascii="Arial" w:hAnsi="Arial" w:cs="Arial"/>
          <w:sz w:val="20"/>
          <w:szCs w:val="20"/>
        </w:rPr>
        <w:t xml:space="preserve">or property of the estate except by filing a </w:t>
      </w:r>
      <w:r w:rsidR="00C03031">
        <w:rPr>
          <w:rFonts w:ascii="Arial" w:hAnsi="Arial" w:cs="Arial"/>
          <w:sz w:val="20"/>
          <w:szCs w:val="20"/>
        </w:rPr>
        <w:t>p</w:t>
      </w:r>
      <w:r w:rsidRPr="00CB5473">
        <w:rPr>
          <w:rFonts w:ascii="Arial" w:hAnsi="Arial" w:cs="Arial"/>
          <w:sz w:val="20"/>
          <w:szCs w:val="20"/>
        </w:rPr>
        <w:t xml:space="preserve">roof of </w:t>
      </w:r>
      <w:r w:rsidR="00C03031">
        <w:rPr>
          <w:rFonts w:ascii="Arial" w:hAnsi="Arial" w:cs="Arial"/>
          <w:sz w:val="20"/>
          <w:szCs w:val="20"/>
        </w:rPr>
        <w:t>c</w:t>
      </w:r>
      <w:r w:rsidRPr="00CB5473">
        <w:rPr>
          <w:rFonts w:ascii="Arial" w:hAnsi="Arial" w:cs="Arial"/>
          <w:sz w:val="20"/>
          <w:szCs w:val="20"/>
        </w:rPr>
        <w:t>laim pursuant to 11 U.S.C. § 501.</w:t>
      </w:r>
    </w:p>
    <w:p w:rsidR="008270D0" w:rsidRPr="00CB5473" w:rsidRDefault="008270D0" w:rsidP="00700D5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0D0" w:rsidRPr="00CB5473" w:rsidRDefault="000F71D8" w:rsidP="002236DD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="00603267">
        <w:rPr>
          <w:rFonts w:ascii="Arial" w:hAnsi="Arial" w:cs="Arial"/>
          <w:sz w:val="20"/>
          <w:szCs w:val="20"/>
        </w:rPr>
        <w:tab/>
      </w:r>
      <w:r w:rsidR="008270D0" w:rsidRPr="00CB5473">
        <w:rPr>
          <w:rFonts w:ascii="Arial" w:hAnsi="Arial" w:cs="Arial"/>
          <w:sz w:val="20"/>
          <w:szCs w:val="20"/>
        </w:rPr>
        <w:t xml:space="preserve">Movant </w:t>
      </w:r>
      <w:r w:rsidR="008270D0" w:rsidRPr="00457C3E">
        <w:rPr>
          <w:rFonts w:ascii="Arial" w:hAnsi="Arial" w:cs="Arial"/>
          <w:sz w:val="20"/>
          <w:szCs w:val="20"/>
        </w:rPr>
        <w:t xml:space="preserve">must </w:t>
      </w:r>
      <w:r w:rsidR="008270D0" w:rsidRPr="00CB5473">
        <w:rPr>
          <w:rFonts w:ascii="Arial" w:hAnsi="Arial" w:cs="Arial"/>
          <w:sz w:val="20"/>
          <w:szCs w:val="20"/>
        </w:rPr>
        <w:t xml:space="preserve">not conduct a foreclosure sale </w:t>
      </w:r>
      <w:r w:rsidR="00CA203F">
        <w:rPr>
          <w:rFonts w:ascii="Arial" w:hAnsi="Arial" w:cs="Arial"/>
          <w:sz w:val="20"/>
          <w:szCs w:val="20"/>
        </w:rPr>
        <w:t xml:space="preserve">of the Property </w:t>
      </w:r>
      <w:r w:rsidR="008270D0" w:rsidRPr="00CB5473">
        <w:rPr>
          <w:rFonts w:ascii="Arial" w:hAnsi="Arial" w:cs="Arial"/>
          <w:sz w:val="20"/>
          <w:szCs w:val="20"/>
        </w:rPr>
        <w:t xml:space="preserve">before </w:t>
      </w:r>
      <w:r w:rsidR="00307972">
        <w:rPr>
          <w:rFonts w:ascii="Arial" w:hAnsi="Arial" w:cs="Arial"/>
          <w:sz w:val="20"/>
          <w:szCs w:val="20"/>
        </w:rPr>
        <w:t>(</w:t>
      </w:r>
      <w:r w:rsidR="008270D0" w:rsidRPr="00307972">
        <w:rPr>
          <w:rFonts w:ascii="Arial" w:hAnsi="Arial" w:cs="Arial"/>
          <w:i/>
          <w:sz w:val="20"/>
          <w:szCs w:val="20"/>
        </w:rPr>
        <w:t>date</w:t>
      </w:r>
      <w:r w:rsidR="00307972">
        <w:rPr>
          <w:rFonts w:ascii="Arial" w:hAnsi="Arial" w:cs="Arial"/>
          <w:sz w:val="20"/>
          <w:szCs w:val="20"/>
        </w:rPr>
        <w:t>)</w:t>
      </w:r>
      <w:r w:rsidR="008270D0" w:rsidRPr="00CB5473">
        <w:rPr>
          <w:rFonts w:ascii="Arial" w:hAnsi="Arial" w:cs="Arial"/>
          <w:sz w:val="20"/>
          <w:szCs w:val="20"/>
        </w:rPr>
        <w:t xml:space="preserve"> </w:t>
      </w:r>
      <w:r w:rsidR="00E4052A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052A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4052A" w:rsidRPr="00CB02E1">
        <w:rPr>
          <w:rFonts w:ascii="Arial" w:hAnsi="Arial" w:cs="Arial"/>
          <w:sz w:val="20"/>
          <w:szCs w:val="20"/>
          <w:u w:val="single"/>
        </w:rPr>
      </w:r>
      <w:r w:rsidR="00E4052A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E4052A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E4052A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E4052A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E4052A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307972" w:rsidRPr="00307972">
        <w:rPr>
          <w:rFonts w:ascii="Arial" w:hAnsi="Arial" w:cs="Arial"/>
          <w:sz w:val="20"/>
          <w:szCs w:val="20"/>
        </w:rPr>
        <w:t>.</w:t>
      </w:r>
    </w:p>
    <w:p w:rsidR="008270D0" w:rsidRPr="00CB5473" w:rsidRDefault="008270D0" w:rsidP="00700D5A">
      <w:pPr>
        <w:pStyle w:val="ListParagraph"/>
        <w:rPr>
          <w:rFonts w:ascii="Arial" w:hAnsi="Arial" w:cs="Arial"/>
          <w:sz w:val="20"/>
          <w:szCs w:val="20"/>
        </w:rPr>
      </w:pPr>
    </w:p>
    <w:p w:rsidR="008270D0" w:rsidRPr="00CB5473" w:rsidRDefault="008270D0" w:rsidP="00700D5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bookmarkEnd w:id="10"/>
      <w:r w:rsidRPr="00CB5473">
        <w:rPr>
          <w:rFonts w:ascii="Arial" w:hAnsi="Arial" w:cs="Arial"/>
          <w:sz w:val="20"/>
          <w:szCs w:val="20"/>
        </w:rPr>
        <w:tab/>
        <w:t>The stay shall remain in effect subject to the terms and conditions set forth in the Adequate Protection A</w:t>
      </w:r>
      <w:r w:rsidR="002236DD">
        <w:rPr>
          <w:rFonts w:ascii="Arial" w:hAnsi="Arial" w:cs="Arial"/>
          <w:sz w:val="20"/>
          <w:szCs w:val="20"/>
        </w:rPr>
        <w:t xml:space="preserve">greement </w:t>
      </w:r>
      <w:r w:rsidR="00F23C18">
        <w:rPr>
          <w:rFonts w:ascii="Arial" w:hAnsi="Arial" w:cs="Arial"/>
          <w:sz w:val="20"/>
          <w:szCs w:val="20"/>
        </w:rPr>
        <w:t>contained within</w:t>
      </w:r>
      <w:r w:rsidRPr="00CB5473">
        <w:rPr>
          <w:rFonts w:ascii="Arial" w:hAnsi="Arial" w:cs="Arial"/>
          <w:sz w:val="20"/>
          <w:szCs w:val="20"/>
        </w:rPr>
        <w:t xml:space="preserve"> this </w:t>
      </w:r>
      <w:r w:rsidR="00C14CCF">
        <w:rPr>
          <w:rFonts w:ascii="Arial" w:hAnsi="Arial" w:cs="Arial"/>
          <w:sz w:val="20"/>
          <w:szCs w:val="20"/>
        </w:rPr>
        <w:t>o</w:t>
      </w:r>
      <w:r w:rsidRPr="00CB5473">
        <w:rPr>
          <w:rFonts w:ascii="Arial" w:hAnsi="Arial" w:cs="Arial"/>
          <w:sz w:val="20"/>
          <w:szCs w:val="20"/>
        </w:rPr>
        <w:t>rder.</w:t>
      </w:r>
    </w:p>
    <w:p w:rsidR="008270D0" w:rsidRPr="00CB5473" w:rsidRDefault="008270D0" w:rsidP="00700D5A">
      <w:pPr>
        <w:pStyle w:val="ListParagraph"/>
        <w:rPr>
          <w:rFonts w:ascii="Arial" w:hAnsi="Arial" w:cs="Arial"/>
          <w:sz w:val="20"/>
          <w:szCs w:val="20"/>
        </w:rPr>
      </w:pPr>
    </w:p>
    <w:p w:rsidR="001F0904" w:rsidRDefault="008270D0" w:rsidP="001F0904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bookmarkEnd w:id="11"/>
      <w:r w:rsidRPr="00CB5473">
        <w:rPr>
          <w:rFonts w:ascii="Arial" w:hAnsi="Arial" w:cs="Arial"/>
          <w:sz w:val="20"/>
          <w:szCs w:val="20"/>
        </w:rPr>
        <w:tab/>
        <w:t xml:space="preserve">In chapter 13 cases, the trustee </w:t>
      </w:r>
      <w:r w:rsidRPr="00457C3E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not make any further payments on account of Movant’s secured claim after entry of this </w:t>
      </w:r>
      <w:r w:rsidR="00C14CCF">
        <w:rPr>
          <w:rFonts w:ascii="Arial" w:hAnsi="Arial" w:cs="Arial"/>
          <w:sz w:val="20"/>
          <w:szCs w:val="20"/>
        </w:rPr>
        <w:t>o</w:t>
      </w:r>
      <w:r w:rsidRPr="00CB5473">
        <w:rPr>
          <w:rFonts w:ascii="Arial" w:hAnsi="Arial" w:cs="Arial"/>
          <w:sz w:val="20"/>
          <w:szCs w:val="20"/>
        </w:rPr>
        <w:t xml:space="preserve">rder.  The secured portion of Movant’s claim is deemed withdrawn upon entry of this </w:t>
      </w:r>
      <w:r w:rsidR="00C14CCF">
        <w:rPr>
          <w:rFonts w:ascii="Arial" w:hAnsi="Arial" w:cs="Arial"/>
          <w:sz w:val="20"/>
          <w:szCs w:val="20"/>
        </w:rPr>
        <w:t>o</w:t>
      </w:r>
      <w:r w:rsidRPr="00CB5473">
        <w:rPr>
          <w:rFonts w:ascii="Arial" w:hAnsi="Arial" w:cs="Arial"/>
          <w:sz w:val="20"/>
          <w:szCs w:val="20"/>
        </w:rPr>
        <w:t xml:space="preserve">rder without prejudice to Movant’s right to file an amended unsecured claim for any deficiency.  Absent a stipulation or order to the contrary, Movant </w:t>
      </w:r>
      <w:r w:rsidRPr="00457C3E">
        <w:rPr>
          <w:rFonts w:ascii="Arial" w:hAnsi="Arial" w:cs="Arial"/>
          <w:sz w:val="20"/>
          <w:szCs w:val="20"/>
        </w:rPr>
        <w:t xml:space="preserve">must </w:t>
      </w:r>
      <w:r w:rsidRPr="00CB5473">
        <w:rPr>
          <w:rFonts w:ascii="Arial" w:hAnsi="Arial" w:cs="Arial"/>
          <w:sz w:val="20"/>
          <w:szCs w:val="20"/>
        </w:rPr>
        <w:t xml:space="preserve">return to the trustee any payments received from the trustee on account of Movant’s secured claim after entry of this </w:t>
      </w:r>
      <w:r w:rsidR="00C14CCF">
        <w:rPr>
          <w:rFonts w:ascii="Arial" w:hAnsi="Arial" w:cs="Arial"/>
          <w:sz w:val="20"/>
          <w:szCs w:val="20"/>
        </w:rPr>
        <w:t>o</w:t>
      </w:r>
      <w:r w:rsidRPr="00CB5473">
        <w:rPr>
          <w:rFonts w:ascii="Arial" w:hAnsi="Arial" w:cs="Arial"/>
          <w:sz w:val="20"/>
          <w:szCs w:val="20"/>
        </w:rPr>
        <w:t>rder.</w:t>
      </w:r>
    </w:p>
    <w:p w:rsidR="001F0904" w:rsidRDefault="001F0904" w:rsidP="001F0904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F0904" w:rsidRPr="001F0904" w:rsidRDefault="002236DD" w:rsidP="001F0904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1F09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0904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1F0904">
        <w:rPr>
          <w:rFonts w:ascii="Arial" w:hAnsi="Arial" w:cs="Arial"/>
          <w:sz w:val="20"/>
          <w:szCs w:val="20"/>
        </w:rPr>
        <w:fldChar w:fldCharType="end"/>
      </w:r>
      <w:r w:rsidRPr="001F0904">
        <w:rPr>
          <w:rFonts w:ascii="Arial" w:hAnsi="Arial" w:cs="Arial"/>
          <w:sz w:val="20"/>
          <w:szCs w:val="20"/>
        </w:rPr>
        <w:tab/>
      </w:r>
      <w:r w:rsidR="001F0904" w:rsidRPr="001F0904">
        <w:rPr>
          <w:rFonts w:ascii="Arial" w:hAnsi="Arial" w:cs="Arial"/>
          <w:sz w:val="20"/>
          <w:szCs w:val="20"/>
        </w:rPr>
        <w:t>The co-debtor stay of 11 U.S.C. § 1201(a) or § 1301(a) is terminated</w:t>
      </w:r>
      <w:r w:rsidR="00247634">
        <w:rPr>
          <w:rFonts w:ascii="Arial" w:hAnsi="Arial" w:cs="Arial"/>
          <w:sz w:val="20"/>
          <w:szCs w:val="20"/>
        </w:rPr>
        <w:t>,</w:t>
      </w:r>
      <w:r w:rsidR="001F0904" w:rsidRPr="001F0904">
        <w:rPr>
          <w:rFonts w:ascii="Arial" w:hAnsi="Arial" w:cs="Arial"/>
          <w:sz w:val="20"/>
          <w:szCs w:val="20"/>
        </w:rPr>
        <w:t xml:space="preserve"> modified</w:t>
      </w:r>
      <w:r w:rsidR="00247634">
        <w:rPr>
          <w:rFonts w:ascii="Arial" w:hAnsi="Arial" w:cs="Arial"/>
          <w:sz w:val="20"/>
          <w:szCs w:val="20"/>
        </w:rPr>
        <w:t xml:space="preserve"> or annulled</w:t>
      </w:r>
      <w:r w:rsidR="001F0904" w:rsidRPr="001F0904">
        <w:rPr>
          <w:rFonts w:ascii="Arial" w:hAnsi="Arial" w:cs="Arial"/>
          <w:sz w:val="20"/>
          <w:szCs w:val="20"/>
        </w:rPr>
        <w:t xml:space="preserve"> as to the co-debtor, as to the same terms and conditions</w:t>
      </w:r>
      <w:r w:rsidR="00247634">
        <w:rPr>
          <w:rFonts w:ascii="Arial" w:hAnsi="Arial" w:cs="Arial"/>
          <w:sz w:val="20"/>
          <w:szCs w:val="20"/>
        </w:rPr>
        <w:t xml:space="preserve"> as to the Debtor</w:t>
      </w:r>
      <w:r w:rsidR="001F0904" w:rsidRPr="001F0904">
        <w:rPr>
          <w:rFonts w:ascii="Arial" w:hAnsi="Arial" w:cs="Arial"/>
          <w:sz w:val="20"/>
          <w:szCs w:val="20"/>
        </w:rPr>
        <w:t>.</w:t>
      </w:r>
    </w:p>
    <w:p w:rsidR="00EF181A" w:rsidRDefault="00EF181A" w:rsidP="00EF181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2236DD" w:rsidRDefault="002236DD" w:rsidP="00EF181A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CF15D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5D5">
        <w:rPr>
          <w:rFonts w:ascii="Arial" w:hAnsi="Arial" w:cs="Arial"/>
          <w:sz w:val="20"/>
          <w:szCs w:val="20"/>
        </w:rPr>
        <w:instrText xml:space="preserve"> FORMCHECKBO</w:instrText>
      </w:r>
      <w:r w:rsidRPr="00F926D1">
        <w:rPr>
          <w:rFonts w:ascii="Arial" w:hAnsi="Arial" w:cs="Arial"/>
          <w:sz w:val="20"/>
          <w:szCs w:val="20"/>
        </w:rPr>
        <w:instrText>X</w:instrText>
      </w:r>
      <w:r w:rsidRPr="00CF15D5">
        <w:rPr>
          <w:rFonts w:ascii="Arial" w:hAnsi="Arial" w:cs="Arial"/>
          <w:sz w:val="20"/>
          <w:szCs w:val="20"/>
        </w:rPr>
        <w:instrText xml:space="preserve">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F15D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t>The 14-day stay as provided in FRBP 4001(a)(3) is waived.</w:t>
      </w:r>
    </w:p>
    <w:p w:rsidR="00EF181A" w:rsidRPr="002236DD" w:rsidRDefault="00EF181A" w:rsidP="00EF181A">
      <w:pPr>
        <w:pStyle w:val="ListParagraph"/>
        <w:widowControl w:val="0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3BF7" w:rsidRDefault="0061347A" w:rsidP="00EF181A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E647F7">
        <w:rPr>
          <w:rFonts w:ascii="Arial" w:hAnsi="Arial" w:cs="Arial"/>
          <w:sz w:val="20"/>
          <w:szCs w:val="20"/>
        </w:rPr>
        <w:t xml:space="preserve">is </w:t>
      </w:r>
      <w:r w:rsidR="00BE3D3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rder is </w:t>
      </w:r>
      <w:r w:rsidRPr="00E83B1E">
        <w:rPr>
          <w:rFonts w:ascii="Arial" w:hAnsi="Arial" w:cs="Arial"/>
          <w:sz w:val="20"/>
          <w:szCs w:val="20"/>
        </w:rPr>
        <w:t xml:space="preserve">binding and effective despite any conversion of this bankruptcy case to a case under any other chapter of the </w:t>
      </w:r>
      <w:r w:rsidR="00E647F7">
        <w:rPr>
          <w:rFonts w:ascii="Arial" w:hAnsi="Arial" w:cs="Arial"/>
          <w:sz w:val="20"/>
          <w:szCs w:val="20"/>
        </w:rPr>
        <w:t>Bankruptcy</w:t>
      </w:r>
      <w:r w:rsidRPr="00E83B1E">
        <w:rPr>
          <w:rFonts w:ascii="Arial" w:hAnsi="Arial" w:cs="Arial"/>
          <w:sz w:val="20"/>
          <w:szCs w:val="20"/>
        </w:rPr>
        <w:t xml:space="preserve"> Code</w:t>
      </w:r>
      <w:r>
        <w:rPr>
          <w:rFonts w:ascii="Arial" w:hAnsi="Arial" w:cs="Arial"/>
          <w:sz w:val="20"/>
          <w:szCs w:val="20"/>
        </w:rPr>
        <w:t>.</w:t>
      </w:r>
      <w:r w:rsidR="00353BF7">
        <w:rPr>
          <w:rFonts w:ascii="Arial" w:hAnsi="Arial" w:cs="Arial"/>
          <w:sz w:val="20"/>
          <w:szCs w:val="20"/>
        </w:rPr>
        <w:t xml:space="preserve"> </w:t>
      </w:r>
    </w:p>
    <w:p w:rsidR="00EF181A" w:rsidRDefault="00EF181A" w:rsidP="00EF181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2236DD" w:rsidRPr="00A048F9" w:rsidRDefault="002236DD" w:rsidP="002236DD">
      <w:pPr>
        <w:widowControl w:val="0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4500"/>
          <w:tab w:val="left" w:pos="50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4E049D">
        <w:rPr>
          <w:rFonts w:ascii="Arial" w:hAnsi="Arial" w:cs="Arial"/>
          <w:sz w:val="20"/>
          <w:szCs w:val="20"/>
        </w:rPr>
        <w:t xml:space="preserve">Movant, or its agents, may, at its option, offer, provide and enter into a potential forbearance </w:t>
      </w:r>
      <w:r>
        <w:rPr>
          <w:rFonts w:ascii="Arial" w:hAnsi="Arial" w:cs="Arial"/>
          <w:sz w:val="20"/>
          <w:szCs w:val="20"/>
        </w:rPr>
        <w:t>a</w:t>
      </w:r>
      <w:r w:rsidRPr="004E049D">
        <w:rPr>
          <w:rFonts w:ascii="Arial" w:hAnsi="Arial" w:cs="Arial"/>
          <w:sz w:val="20"/>
          <w:szCs w:val="20"/>
        </w:rPr>
        <w:t xml:space="preserve">greement, loan modification, refinance agreement or other loan workout or loss mitigation agreement.  Movant, through its servicing agent, may contact the Debtor </w:t>
      </w:r>
      <w:r>
        <w:rPr>
          <w:rFonts w:ascii="Arial" w:hAnsi="Arial" w:cs="Arial"/>
          <w:sz w:val="20"/>
          <w:szCs w:val="20"/>
        </w:rPr>
        <w:t xml:space="preserve">by </w:t>
      </w:r>
      <w:r w:rsidRPr="004E049D">
        <w:rPr>
          <w:rFonts w:ascii="Arial" w:hAnsi="Arial" w:cs="Arial"/>
          <w:sz w:val="20"/>
          <w:szCs w:val="20"/>
        </w:rPr>
        <w:t>telephone or written correspondence to offer such an agreement.</w:t>
      </w:r>
      <w:r w:rsidRPr="00A048F9">
        <w:rPr>
          <w:rFonts w:ascii="Arial" w:hAnsi="Arial" w:cs="Arial"/>
          <w:sz w:val="20"/>
          <w:szCs w:val="20"/>
        </w:rPr>
        <w:t xml:space="preserve"> </w:t>
      </w:r>
    </w:p>
    <w:p w:rsidR="00EF181A" w:rsidRDefault="00EF18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70D0" w:rsidRDefault="005B36AE" w:rsidP="002236DD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lastRenderedPageBreak/>
        <w:t xml:space="preserve">Upon entry of this order, </w:t>
      </w:r>
      <w:r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="00CF15D5"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 purposes of Cal. Civ. Code § 2923.5, </w:t>
      </w:r>
      <w:r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Debtor i</w:t>
      </w:r>
      <w:r w:rsidR="00CF2002"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>s a borrower as defined in Cal. </w:t>
      </w:r>
      <w:r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Civ. Code </w:t>
      </w:r>
      <w:r w:rsidR="00CA203F"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§ </w:t>
      </w:r>
      <w:r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>2920.5(c)(2)(C)</w:t>
      </w:r>
      <w:r w:rsidR="00CF15D5" w:rsidRPr="002236D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F15D5" w:rsidRPr="002236DD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8270D0" w:rsidRPr="002236DD">
        <w:rPr>
          <w:rFonts w:ascii="Arial" w:hAnsi="Arial" w:cs="Arial"/>
          <w:sz w:val="20"/>
          <w:szCs w:val="20"/>
        </w:rPr>
        <w:t xml:space="preserve"> </w:t>
      </w:r>
    </w:p>
    <w:p w:rsidR="002236DD" w:rsidRPr="002236DD" w:rsidRDefault="002236DD" w:rsidP="002236DD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after="120"/>
        <w:ind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A designated law enforcement officer may evict the Debtor and any other occupant from the Property regar</w:t>
      </w:r>
      <w:r w:rsidR="000120B4">
        <w:rPr>
          <w:rFonts w:ascii="Arial" w:hAnsi="Arial" w:cs="Arial"/>
          <w:sz w:val="20"/>
          <w:szCs w:val="20"/>
        </w:rPr>
        <w:t>dless of any future bankruptcy case</w:t>
      </w:r>
      <w:r w:rsidRPr="002236DD">
        <w:rPr>
          <w:rFonts w:ascii="Arial" w:hAnsi="Arial" w:cs="Arial"/>
          <w:sz w:val="20"/>
          <w:szCs w:val="20"/>
        </w:rPr>
        <w:t xml:space="preserve"> concerning the Property for a period of 180 days from the hearing of this Motion</w:t>
      </w:r>
    </w:p>
    <w:p w:rsidR="002236DD" w:rsidRPr="002236DD" w:rsidRDefault="002236DD" w:rsidP="002236DD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070"/>
        </w:tabs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2236DD">
        <w:rPr>
          <w:rFonts w:ascii="Arial" w:hAnsi="Arial" w:cs="Arial"/>
          <w:sz w:val="20"/>
          <w:szCs w:val="20"/>
        </w:rPr>
        <w:t>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without further notice</w:t>
      </w:r>
      <w:r w:rsidR="005D3F0E">
        <w:rPr>
          <w:rFonts w:ascii="Arial" w:hAnsi="Arial" w:cs="Arial"/>
          <w:sz w:val="20"/>
          <w:szCs w:val="20"/>
        </w:rPr>
        <w:t>.</w:t>
      </w:r>
    </w:p>
    <w:p w:rsidR="002236DD" w:rsidRPr="002236DD" w:rsidRDefault="002236DD" w:rsidP="002236DD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120"/>
        <w:ind w:left="1080"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t>(b)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upon recording of a copy of this order or giving appropriate notice of its entry in compliance with applicable nonbankruptcy law.</w:t>
      </w:r>
    </w:p>
    <w:p w:rsidR="002236DD" w:rsidRPr="002236DD" w:rsidRDefault="002236DD" w:rsidP="002236D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260"/>
        </w:tabs>
        <w:spacing w:after="120"/>
        <w:ind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This order is binding and effective in any bankruptcy case commenced by or against the Debtor for a period of 180 days, so that no further automatic stay shall arise in that case as to the Property.</w:t>
      </w:r>
    </w:p>
    <w:p w:rsidR="002236DD" w:rsidRPr="002236DD" w:rsidRDefault="002236DD" w:rsidP="002236D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260"/>
        </w:tabs>
        <w:spacing w:after="120"/>
        <w:ind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This order is binding and effective in any bankruptcy case commenced by or against any debtor who claims any interest in the Property for a period of 180 days from the hearing of this Motion:</w:t>
      </w:r>
    </w:p>
    <w:p w:rsidR="002236DD" w:rsidRPr="002236DD" w:rsidRDefault="002236DD" w:rsidP="002236DD">
      <w:pPr>
        <w:tabs>
          <w:tab w:val="left" w:pos="720"/>
          <w:tab w:val="left" w:pos="1080"/>
          <w:tab w:val="left" w:pos="1440"/>
          <w:tab w:val="left" w:pos="1980"/>
        </w:tabs>
        <w:spacing w:after="120"/>
        <w:ind w:left="1080"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t>(a)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without further notice</w:t>
      </w:r>
      <w:r w:rsidR="005D3F0E">
        <w:rPr>
          <w:rFonts w:ascii="Arial" w:hAnsi="Arial" w:cs="Arial"/>
          <w:sz w:val="20"/>
          <w:szCs w:val="20"/>
        </w:rPr>
        <w:t>.</w:t>
      </w:r>
    </w:p>
    <w:p w:rsidR="002236DD" w:rsidRPr="002236DD" w:rsidRDefault="002236DD" w:rsidP="002236DD">
      <w:pPr>
        <w:tabs>
          <w:tab w:val="left" w:pos="720"/>
          <w:tab w:val="left" w:pos="1080"/>
          <w:tab w:val="left" w:pos="1440"/>
        </w:tabs>
        <w:spacing w:after="120"/>
        <w:ind w:left="1080"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t>(b)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upon recording of a copy of this order or giving appropriate notice of its entry in compliance with applicable nonbankruptcy law.</w:t>
      </w:r>
    </w:p>
    <w:p w:rsidR="002236DD" w:rsidRPr="002236DD" w:rsidRDefault="002236DD" w:rsidP="002236D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260"/>
          <w:tab w:val="left" w:pos="1620"/>
        </w:tabs>
        <w:spacing w:after="120"/>
        <w:ind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This order is binding and effective in any future bankruptcy case, no matter who the debtor may be</w:t>
      </w:r>
    </w:p>
    <w:p w:rsidR="002236DD" w:rsidRPr="002236DD" w:rsidRDefault="002236DD" w:rsidP="002236DD">
      <w:pPr>
        <w:pStyle w:val="ListParagraph"/>
        <w:tabs>
          <w:tab w:val="left" w:pos="720"/>
          <w:tab w:val="left" w:pos="1080"/>
          <w:tab w:val="left" w:pos="1440"/>
          <w:tab w:val="left" w:pos="2070"/>
        </w:tabs>
        <w:spacing w:after="120"/>
        <w:ind w:left="1080" w:hanging="72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2236DD">
        <w:rPr>
          <w:rFonts w:ascii="Arial" w:hAnsi="Arial" w:cs="Arial"/>
          <w:sz w:val="20"/>
          <w:szCs w:val="20"/>
        </w:rPr>
        <w:t>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without further notice</w:t>
      </w:r>
      <w:r w:rsidR="005D3F0E">
        <w:rPr>
          <w:rFonts w:ascii="Arial" w:hAnsi="Arial" w:cs="Arial"/>
          <w:sz w:val="20"/>
          <w:szCs w:val="20"/>
        </w:rPr>
        <w:t>.</w:t>
      </w:r>
    </w:p>
    <w:p w:rsidR="002236DD" w:rsidRPr="002236DD" w:rsidRDefault="002236DD" w:rsidP="002236DD">
      <w:pPr>
        <w:pStyle w:val="ListParagraph"/>
        <w:tabs>
          <w:tab w:val="left" w:pos="720"/>
          <w:tab w:val="left" w:pos="1080"/>
          <w:tab w:val="left" w:pos="1440"/>
          <w:tab w:val="left" w:pos="1620"/>
          <w:tab w:val="left" w:pos="2070"/>
        </w:tabs>
        <w:spacing w:after="12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</w:t>
      </w:r>
      <w:r w:rsidRPr="002236DD">
        <w:rPr>
          <w:rFonts w:ascii="Arial" w:hAnsi="Arial" w:cs="Arial"/>
          <w:sz w:val="20"/>
          <w:szCs w:val="20"/>
        </w:rPr>
        <w:t>)</w:t>
      </w:r>
      <w:r w:rsidRPr="002236DD">
        <w:rPr>
          <w:rFonts w:ascii="Arial" w:hAnsi="Arial" w:cs="Arial"/>
          <w:sz w:val="20"/>
          <w:szCs w:val="20"/>
        </w:rPr>
        <w:tab/>
      </w: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upon recording of a copy of this order or giving appropriate notice of its entry in compliance with applicable nonbankruptcy law.</w:t>
      </w:r>
    </w:p>
    <w:p w:rsidR="002236DD" w:rsidRDefault="002236DD" w:rsidP="002236DD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0"/>
          <w:szCs w:val="20"/>
        </w:rPr>
      </w:pPr>
      <w:r w:rsidRPr="002236DD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236DD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2236DD">
        <w:rPr>
          <w:rFonts w:ascii="Arial" w:hAnsi="Arial" w:cs="Arial"/>
          <w:sz w:val="20"/>
          <w:szCs w:val="20"/>
        </w:rPr>
        <w:fldChar w:fldCharType="end"/>
      </w:r>
      <w:r w:rsidRPr="002236DD">
        <w:rPr>
          <w:rFonts w:ascii="Arial" w:hAnsi="Arial" w:cs="Arial"/>
          <w:sz w:val="20"/>
          <w:szCs w:val="20"/>
        </w:rPr>
        <w:tab/>
        <w:t>Other (</w:t>
      </w:r>
      <w:r w:rsidRPr="002236DD">
        <w:rPr>
          <w:rFonts w:ascii="Arial" w:hAnsi="Arial" w:cs="Arial"/>
          <w:i/>
          <w:sz w:val="20"/>
          <w:szCs w:val="20"/>
        </w:rPr>
        <w:t>specify</w:t>
      </w:r>
      <w:r w:rsidRPr="002236DD">
        <w:rPr>
          <w:rFonts w:ascii="Arial" w:hAnsi="Arial" w:cs="Arial"/>
          <w:sz w:val="20"/>
          <w:szCs w:val="20"/>
        </w:rPr>
        <w:t>):</w:t>
      </w:r>
    </w:p>
    <w:p w:rsidR="00A24558" w:rsidRDefault="00A24558" w:rsidP="00EF181A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A24558" w:rsidRDefault="00A24558" w:rsidP="00EF181A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EF181A" w:rsidRDefault="00EF181A" w:rsidP="00EF181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5F04F5" w:rsidRDefault="005F04F5" w:rsidP="00EF181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EF181A" w:rsidRDefault="00EF181A" w:rsidP="00EF181A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A24558" w:rsidRDefault="00A24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11A7" w:rsidRPr="00CB5473" w:rsidRDefault="004211A7" w:rsidP="004211A7">
      <w:pPr>
        <w:tabs>
          <w:tab w:val="left" w:pos="360"/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CB5473">
        <w:rPr>
          <w:rFonts w:ascii="Arial" w:hAnsi="Arial" w:cs="Arial"/>
          <w:b/>
          <w:sz w:val="28"/>
          <w:szCs w:val="28"/>
        </w:rPr>
        <w:lastRenderedPageBreak/>
        <w:t>ADEQUATE PROTECTION A</w:t>
      </w:r>
      <w:r w:rsidR="00A24558">
        <w:rPr>
          <w:rFonts w:ascii="Arial" w:hAnsi="Arial" w:cs="Arial"/>
          <w:b/>
          <w:sz w:val="28"/>
          <w:szCs w:val="28"/>
        </w:rPr>
        <w:t>GREE</w:t>
      </w:r>
      <w:r w:rsidRPr="00CB5473">
        <w:rPr>
          <w:rFonts w:ascii="Arial" w:hAnsi="Arial" w:cs="Arial"/>
          <w:b/>
          <w:sz w:val="28"/>
          <w:szCs w:val="28"/>
        </w:rPr>
        <w:t>MENT</w:t>
      </w:r>
    </w:p>
    <w:p w:rsidR="004211A7" w:rsidRPr="00CB5473" w:rsidRDefault="004211A7" w:rsidP="004211A7">
      <w:pPr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jc w:val="center"/>
        <w:rPr>
          <w:rFonts w:ascii="Arial" w:hAnsi="Arial" w:cs="Arial"/>
          <w:i/>
          <w:sz w:val="20"/>
          <w:szCs w:val="20"/>
        </w:rPr>
      </w:pPr>
      <w:r w:rsidRPr="00CB5473">
        <w:rPr>
          <w:rFonts w:ascii="Arial" w:hAnsi="Arial" w:cs="Arial"/>
          <w:i/>
          <w:sz w:val="20"/>
          <w:szCs w:val="20"/>
        </w:rPr>
        <w:t xml:space="preserve">(This </w:t>
      </w:r>
      <w:r>
        <w:rPr>
          <w:rFonts w:ascii="Arial" w:hAnsi="Arial" w:cs="Arial"/>
          <w:i/>
          <w:sz w:val="20"/>
          <w:szCs w:val="20"/>
        </w:rPr>
        <w:t>a</w:t>
      </w:r>
      <w:r w:rsidRPr="00CB5473">
        <w:rPr>
          <w:rFonts w:ascii="Arial" w:hAnsi="Arial" w:cs="Arial"/>
          <w:i/>
          <w:sz w:val="20"/>
          <w:szCs w:val="20"/>
        </w:rPr>
        <w:t xml:space="preserve">ttachment is the continuation page for </w:t>
      </w:r>
      <w:r>
        <w:rPr>
          <w:rFonts w:ascii="Arial" w:hAnsi="Arial" w:cs="Arial"/>
          <w:i/>
          <w:sz w:val="20"/>
          <w:szCs w:val="20"/>
        </w:rPr>
        <w:t>p</w:t>
      </w:r>
      <w:r w:rsidRPr="00CB5473">
        <w:rPr>
          <w:rFonts w:ascii="Arial" w:hAnsi="Arial" w:cs="Arial"/>
          <w:i/>
          <w:sz w:val="20"/>
          <w:szCs w:val="20"/>
        </w:rPr>
        <w:t xml:space="preserve">aragraph 7 of </w:t>
      </w:r>
      <w:r w:rsidR="0049390E">
        <w:rPr>
          <w:rFonts w:ascii="Arial" w:hAnsi="Arial" w:cs="Arial"/>
          <w:i/>
          <w:sz w:val="20"/>
          <w:szCs w:val="20"/>
        </w:rPr>
        <w:t>this</w:t>
      </w:r>
      <w:r w:rsidR="0049390E" w:rsidRPr="00CB5473">
        <w:rPr>
          <w:rFonts w:ascii="Arial" w:hAnsi="Arial" w:cs="Arial"/>
          <w:i/>
          <w:sz w:val="20"/>
          <w:szCs w:val="20"/>
        </w:rPr>
        <w:t xml:space="preserve"> </w:t>
      </w:r>
      <w:r w:rsidR="00C14CCF">
        <w:rPr>
          <w:rFonts w:ascii="Arial" w:hAnsi="Arial" w:cs="Arial"/>
          <w:i/>
          <w:sz w:val="20"/>
          <w:szCs w:val="20"/>
        </w:rPr>
        <w:t>o</w:t>
      </w:r>
      <w:r w:rsidR="00C14CCF" w:rsidRPr="00CB5473">
        <w:rPr>
          <w:rFonts w:ascii="Arial" w:hAnsi="Arial" w:cs="Arial"/>
          <w:i/>
          <w:sz w:val="20"/>
          <w:szCs w:val="20"/>
        </w:rPr>
        <w:t>rder</w:t>
      </w:r>
      <w:r w:rsidRPr="00CB5473">
        <w:rPr>
          <w:rFonts w:ascii="Arial" w:hAnsi="Arial" w:cs="Arial"/>
          <w:i/>
          <w:sz w:val="20"/>
          <w:szCs w:val="20"/>
        </w:rPr>
        <w:t>.)</w:t>
      </w:r>
    </w:p>
    <w:p w:rsidR="004211A7" w:rsidRPr="00CB5473" w:rsidRDefault="004211A7" w:rsidP="004211A7">
      <w:p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The stay remain</w:t>
      </w:r>
      <w:r>
        <w:rPr>
          <w:rFonts w:ascii="Arial" w:hAnsi="Arial" w:cs="Arial"/>
          <w:sz w:val="20"/>
          <w:szCs w:val="20"/>
        </w:rPr>
        <w:t>s</w:t>
      </w:r>
      <w:r w:rsidRPr="00CB5473">
        <w:rPr>
          <w:rFonts w:ascii="Arial" w:hAnsi="Arial" w:cs="Arial"/>
          <w:sz w:val="20"/>
          <w:szCs w:val="20"/>
        </w:rPr>
        <w:t xml:space="preserve"> in effect subject to the following terms and conditions:</w:t>
      </w:r>
    </w:p>
    <w:p w:rsidR="004211A7" w:rsidRPr="00CB5473" w:rsidRDefault="004211A7" w:rsidP="004211A7">
      <w:p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1.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Debtor</w:t>
      </w:r>
      <w:r w:rsidRPr="00CB5473">
        <w:rPr>
          <w:rFonts w:ascii="Arial" w:hAnsi="Arial" w:cs="Arial"/>
          <w:sz w:val="20"/>
          <w:szCs w:val="20"/>
        </w:rPr>
        <w:t xml:space="preserve"> tendered payments at the hearing in the amount of $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>.</w:t>
      </w: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2.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Debtor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Pr="00457C3E">
        <w:rPr>
          <w:rFonts w:ascii="Arial" w:hAnsi="Arial" w:cs="Arial"/>
          <w:sz w:val="20"/>
          <w:szCs w:val="20"/>
        </w:rPr>
        <w:t xml:space="preserve">must </w:t>
      </w:r>
      <w:r w:rsidRPr="00CB5473">
        <w:rPr>
          <w:rFonts w:ascii="Arial" w:hAnsi="Arial" w:cs="Arial"/>
          <w:sz w:val="20"/>
          <w:szCs w:val="20"/>
        </w:rPr>
        <w:t>make regular monthly payments in the amount of $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 xml:space="preserve"> commencing</w:t>
      </w:r>
      <w:r w:rsidR="002364A4">
        <w:rPr>
          <w:rFonts w:ascii="Arial" w:hAnsi="Arial" w:cs="Arial"/>
          <w:sz w:val="20"/>
          <w:szCs w:val="20"/>
        </w:rPr>
        <w:t xml:space="preserve"> (</w:t>
      </w:r>
      <w:r w:rsidR="002364A4" w:rsidRPr="002364A4">
        <w:rPr>
          <w:rFonts w:ascii="Arial" w:hAnsi="Arial" w:cs="Arial"/>
          <w:i/>
          <w:sz w:val="20"/>
          <w:szCs w:val="20"/>
        </w:rPr>
        <w:t>date</w:t>
      </w:r>
      <w:r w:rsidR="002364A4">
        <w:rPr>
          <w:rFonts w:ascii="Arial" w:hAnsi="Arial" w:cs="Arial"/>
          <w:sz w:val="20"/>
          <w:szCs w:val="20"/>
        </w:rPr>
        <w:t>)</w:t>
      </w:r>
      <w:r w:rsidR="002364A4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99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 w:rsidRPr="00CB02E1">
        <w:rPr>
          <w:rFonts w:ascii="Arial" w:hAnsi="Arial" w:cs="Arial"/>
          <w:sz w:val="20"/>
          <w:szCs w:val="20"/>
          <w:u w:val="single"/>
        </w:rPr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>.  The amount of these payments may be subject to change under the terms of the parties’ original agreements.  All payments due Movant under</w:t>
      </w:r>
      <w:r w:rsidR="00221918">
        <w:rPr>
          <w:rFonts w:ascii="Arial" w:hAnsi="Arial" w:cs="Arial"/>
          <w:sz w:val="20"/>
          <w:szCs w:val="20"/>
        </w:rPr>
        <w:t xml:space="preserve"> this Adequate Protection Agreement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Pr="00457C3E">
        <w:rPr>
          <w:rFonts w:ascii="Arial" w:hAnsi="Arial" w:cs="Arial"/>
          <w:sz w:val="20"/>
          <w:szCs w:val="20"/>
        </w:rPr>
        <w:t>must</w:t>
      </w:r>
      <w:r w:rsidRPr="00CB5473">
        <w:rPr>
          <w:rFonts w:ascii="Arial" w:hAnsi="Arial" w:cs="Arial"/>
          <w:sz w:val="20"/>
          <w:szCs w:val="20"/>
        </w:rPr>
        <w:t xml:space="preserve"> be paid to Movant at the following address:</w:t>
      </w:r>
    </w:p>
    <w:p w:rsidR="004211A7" w:rsidRPr="00CB5473" w:rsidRDefault="004211A7" w:rsidP="00AA0F51">
      <w:pPr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0"/>
          <w:szCs w:val="20"/>
        </w:rPr>
      </w:pPr>
    </w:p>
    <w:p w:rsidR="004211A7" w:rsidRDefault="004211A7" w:rsidP="0046572B">
      <w:pPr>
        <w:ind w:left="720" w:right="2707"/>
        <w:rPr>
          <w:rFonts w:ascii="Arial" w:hAnsi="Arial" w:cs="Arial"/>
          <w:sz w:val="20"/>
          <w:szCs w:val="20"/>
        </w:rPr>
      </w:pPr>
    </w:p>
    <w:p w:rsidR="00422B99" w:rsidRDefault="00422B99" w:rsidP="0046572B">
      <w:pPr>
        <w:ind w:left="720" w:right="2707"/>
        <w:rPr>
          <w:rFonts w:ascii="Arial" w:hAnsi="Arial" w:cs="Arial"/>
          <w:sz w:val="20"/>
          <w:szCs w:val="20"/>
        </w:rPr>
      </w:pPr>
    </w:p>
    <w:p w:rsidR="00422B99" w:rsidRDefault="00422B99" w:rsidP="0046572B">
      <w:pPr>
        <w:ind w:left="720" w:right="2707"/>
        <w:rPr>
          <w:rFonts w:ascii="Arial" w:hAnsi="Arial" w:cs="Arial"/>
          <w:sz w:val="20"/>
          <w:szCs w:val="20"/>
        </w:rPr>
      </w:pPr>
    </w:p>
    <w:p w:rsidR="00422B99" w:rsidRDefault="00422B99" w:rsidP="0046572B">
      <w:pPr>
        <w:ind w:left="720" w:right="2707"/>
        <w:rPr>
          <w:rFonts w:ascii="Arial" w:hAnsi="Arial" w:cs="Arial"/>
          <w:sz w:val="20"/>
          <w:szCs w:val="20"/>
        </w:rPr>
      </w:pPr>
    </w:p>
    <w:p w:rsidR="00422B99" w:rsidRPr="00CB5473" w:rsidRDefault="00422B99" w:rsidP="0046572B">
      <w:pPr>
        <w:ind w:left="720" w:right="2707"/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3.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Debtor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Pr="00457C3E">
        <w:rPr>
          <w:rFonts w:ascii="Arial" w:hAnsi="Arial" w:cs="Arial"/>
          <w:sz w:val="20"/>
          <w:szCs w:val="20"/>
        </w:rPr>
        <w:t>must</w:t>
      </w:r>
      <w:r w:rsidR="00F35B2E"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cure the postpetition default computed through </w:t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99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 w:rsidRPr="00CB02E1">
        <w:rPr>
          <w:rFonts w:ascii="Arial" w:hAnsi="Arial" w:cs="Arial"/>
          <w:sz w:val="20"/>
          <w:szCs w:val="20"/>
          <w:u w:val="single"/>
        </w:rPr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422B99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in the sum of </w:t>
      </w:r>
      <w:r w:rsidR="00422B99">
        <w:rPr>
          <w:rFonts w:ascii="Arial" w:hAnsi="Arial" w:cs="Arial"/>
          <w:sz w:val="20"/>
          <w:szCs w:val="20"/>
        </w:rPr>
        <w:br/>
      </w:r>
      <w:r w:rsidRPr="00CB5473">
        <w:rPr>
          <w:rFonts w:ascii="Arial" w:hAnsi="Arial" w:cs="Arial"/>
          <w:sz w:val="20"/>
          <w:szCs w:val="20"/>
        </w:rPr>
        <w:t>$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 xml:space="preserve"> as follows:</w:t>
      </w:r>
    </w:p>
    <w:p w:rsidR="004211A7" w:rsidRDefault="004211A7" w:rsidP="004211A7">
      <w:pPr>
        <w:tabs>
          <w:tab w:val="left" w:pos="1080"/>
          <w:tab w:val="left" w:pos="1440"/>
        </w:tabs>
        <w:ind w:left="1440" w:hanging="720"/>
        <w:rPr>
          <w:rFonts w:ascii="Arial" w:hAnsi="Arial" w:cs="Arial"/>
          <w:sz w:val="20"/>
          <w:szCs w:val="20"/>
        </w:rPr>
      </w:pPr>
    </w:p>
    <w:p w:rsidR="004211A7" w:rsidRPr="009A4C5F" w:rsidRDefault="004211A7" w:rsidP="00AA0F51">
      <w:pPr>
        <w:numPr>
          <w:ilvl w:val="0"/>
          <w:numId w:val="11"/>
        </w:numPr>
        <w:tabs>
          <w:tab w:val="left" w:pos="720"/>
          <w:tab w:val="left" w:pos="1080"/>
        </w:tabs>
        <w:spacing w:before="120" w:line="276" w:lineRule="auto"/>
        <w:ind w:left="1080" w:hanging="720"/>
        <w:rPr>
          <w:rFonts w:ascii="Arial" w:hAnsi="Arial" w:cs="Arial"/>
          <w:sz w:val="20"/>
          <w:szCs w:val="20"/>
        </w:rPr>
      </w:pPr>
      <w:r w:rsidRPr="009A4C5F">
        <w:rPr>
          <w:rFonts w:ascii="Arial" w:hAnsi="Arial" w:cs="Arial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3"/>
      <w:r w:rsidRPr="009A4C5F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9A4C5F">
        <w:rPr>
          <w:rFonts w:ascii="Arial" w:hAnsi="Arial" w:cs="Arial"/>
          <w:sz w:val="20"/>
          <w:szCs w:val="20"/>
        </w:rPr>
        <w:fldChar w:fldCharType="end"/>
      </w:r>
      <w:bookmarkEnd w:id="12"/>
      <w:r w:rsidRPr="009A4C5F">
        <w:rPr>
          <w:rFonts w:ascii="Arial" w:hAnsi="Arial" w:cs="Arial"/>
          <w:sz w:val="20"/>
          <w:szCs w:val="20"/>
        </w:rPr>
        <w:tab/>
        <w:t xml:space="preserve">In equal monthly installments of $ 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9A4C5F">
        <w:rPr>
          <w:rFonts w:ascii="Arial" w:hAnsi="Arial" w:cs="Arial"/>
          <w:sz w:val="20"/>
          <w:szCs w:val="20"/>
        </w:rPr>
        <w:t xml:space="preserve"> each commencing </w:t>
      </w:r>
      <w:r w:rsidR="0061176C">
        <w:rPr>
          <w:rFonts w:ascii="Arial" w:hAnsi="Arial" w:cs="Arial"/>
          <w:sz w:val="20"/>
          <w:szCs w:val="20"/>
        </w:rPr>
        <w:t>(</w:t>
      </w:r>
      <w:r w:rsidR="0061176C" w:rsidRPr="002364A4">
        <w:rPr>
          <w:rFonts w:ascii="Arial" w:hAnsi="Arial" w:cs="Arial"/>
          <w:i/>
          <w:sz w:val="20"/>
          <w:szCs w:val="20"/>
        </w:rPr>
        <w:t>date</w:t>
      </w:r>
      <w:r w:rsidR="0061176C">
        <w:rPr>
          <w:rFonts w:ascii="Arial" w:hAnsi="Arial" w:cs="Arial"/>
          <w:sz w:val="20"/>
          <w:szCs w:val="20"/>
        </w:rPr>
        <w:t>)</w:t>
      </w:r>
      <w:r w:rsidR="0061176C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9A4C5F">
        <w:rPr>
          <w:rFonts w:ascii="Arial" w:hAnsi="Arial" w:cs="Arial"/>
          <w:sz w:val="20"/>
          <w:szCs w:val="20"/>
        </w:rPr>
        <w:t xml:space="preserve"> and continuing thereafter through and including </w:t>
      </w:r>
      <w:r w:rsidR="0061176C">
        <w:rPr>
          <w:rFonts w:ascii="Arial" w:hAnsi="Arial" w:cs="Arial"/>
          <w:sz w:val="20"/>
          <w:szCs w:val="20"/>
        </w:rPr>
        <w:t>(</w:t>
      </w:r>
      <w:r w:rsidR="0061176C" w:rsidRPr="002364A4">
        <w:rPr>
          <w:rFonts w:ascii="Arial" w:hAnsi="Arial" w:cs="Arial"/>
          <w:i/>
          <w:sz w:val="20"/>
          <w:szCs w:val="20"/>
        </w:rPr>
        <w:t>date</w:t>
      </w:r>
      <w:r w:rsidR="0061176C">
        <w:rPr>
          <w:rFonts w:ascii="Arial" w:hAnsi="Arial" w:cs="Arial"/>
          <w:sz w:val="20"/>
          <w:szCs w:val="20"/>
        </w:rPr>
        <w:t>)</w:t>
      </w:r>
      <w:r w:rsidR="0061176C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9A4C5F">
        <w:rPr>
          <w:rFonts w:ascii="Arial" w:hAnsi="Arial" w:cs="Arial"/>
          <w:sz w:val="20"/>
          <w:szCs w:val="20"/>
        </w:rPr>
        <w:t>.</w:t>
      </w:r>
    </w:p>
    <w:p w:rsidR="004211A7" w:rsidRDefault="004211A7" w:rsidP="00AA0F51">
      <w:pPr>
        <w:numPr>
          <w:ilvl w:val="0"/>
          <w:numId w:val="11"/>
        </w:numPr>
        <w:tabs>
          <w:tab w:val="left" w:pos="720"/>
          <w:tab w:val="left" w:pos="108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2730A">
        <w:rPr>
          <w:rFonts w:ascii="Arial" w:hAnsi="Arial" w:cs="Arial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6"/>
      <w:r w:rsidRPr="00F2730A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F2730A">
        <w:rPr>
          <w:rFonts w:ascii="Arial" w:hAnsi="Arial" w:cs="Arial"/>
          <w:sz w:val="20"/>
          <w:szCs w:val="20"/>
        </w:rPr>
        <w:fldChar w:fldCharType="end"/>
      </w:r>
      <w:bookmarkEnd w:id="13"/>
      <w:r w:rsidRPr="00F2730A">
        <w:rPr>
          <w:rFonts w:ascii="Arial" w:hAnsi="Arial" w:cs="Arial"/>
          <w:sz w:val="20"/>
          <w:szCs w:val="20"/>
        </w:rPr>
        <w:tab/>
        <w:t xml:space="preserve">By paying the sum of $ 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 xml:space="preserve"> on or before </w:t>
      </w:r>
      <w:r w:rsidR="0061176C">
        <w:rPr>
          <w:rFonts w:ascii="Arial" w:hAnsi="Arial" w:cs="Arial"/>
          <w:sz w:val="20"/>
          <w:szCs w:val="20"/>
        </w:rPr>
        <w:t>(</w:t>
      </w:r>
      <w:r w:rsidR="0061176C" w:rsidRPr="002364A4">
        <w:rPr>
          <w:rFonts w:ascii="Arial" w:hAnsi="Arial" w:cs="Arial"/>
          <w:i/>
          <w:sz w:val="20"/>
          <w:szCs w:val="20"/>
        </w:rPr>
        <w:t>date</w:t>
      </w:r>
      <w:r w:rsidR="0061176C">
        <w:rPr>
          <w:rFonts w:ascii="Arial" w:hAnsi="Arial" w:cs="Arial"/>
          <w:sz w:val="20"/>
          <w:szCs w:val="20"/>
        </w:rPr>
        <w:t>)</w:t>
      </w:r>
      <w:r w:rsidR="0061176C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>,</w:t>
      </w:r>
    </w:p>
    <w:p w:rsidR="004211A7" w:rsidRDefault="004211A7" w:rsidP="00AA0F51">
      <w:pPr>
        <w:numPr>
          <w:ilvl w:val="0"/>
          <w:numId w:val="11"/>
        </w:numPr>
        <w:tabs>
          <w:tab w:val="left" w:pos="720"/>
          <w:tab w:val="left" w:pos="108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2730A">
        <w:rPr>
          <w:rFonts w:ascii="Arial" w:hAnsi="Arial" w:cs="Arial"/>
          <w:sz w:val="20"/>
          <w:szCs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F2730A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F2730A">
        <w:rPr>
          <w:rFonts w:ascii="Arial" w:hAnsi="Arial" w:cs="Arial"/>
          <w:sz w:val="20"/>
          <w:szCs w:val="20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ab/>
        <w:t xml:space="preserve">By paying the sum of $ 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 xml:space="preserve"> on or before </w:t>
      </w:r>
      <w:r w:rsidR="0061176C">
        <w:rPr>
          <w:rFonts w:ascii="Arial" w:hAnsi="Arial" w:cs="Arial"/>
          <w:sz w:val="20"/>
          <w:szCs w:val="20"/>
        </w:rPr>
        <w:t>(</w:t>
      </w:r>
      <w:r w:rsidR="0061176C" w:rsidRPr="002364A4">
        <w:rPr>
          <w:rFonts w:ascii="Arial" w:hAnsi="Arial" w:cs="Arial"/>
          <w:i/>
          <w:sz w:val="20"/>
          <w:szCs w:val="20"/>
        </w:rPr>
        <w:t>date</w:t>
      </w:r>
      <w:r w:rsidR="0061176C">
        <w:rPr>
          <w:rFonts w:ascii="Arial" w:hAnsi="Arial" w:cs="Arial"/>
          <w:sz w:val="20"/>
          <w:szCs w:val="20"/>
        </w:rPr>
        <w:t>)</w:t>
      </w:r>
      <w:r w:rsidR="0061176C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</w:p>
    <w:p w:rsidR="004211A7" w:rsidRDefault="004211A7" w:rsidP="0046572B">
      <w:pPr>
        <w:tabs>
          <w:tab w:val="left" w:pos="720"/>
          <w:tab w:val="left" w:pos="1080"/>
        </w:tabs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  <w:r w:rsidRPr="00F2730A">
        <w:rPr>
          <w:rFonts w:ascii="Arial" w:hAnsi="Arial" w:cs="Arial"/>
          <w:sz w:val="20"/>
          <w:szCs w:val="20"/>
        </w:rPr>
        <w:t>d.</w:t>
      </w:r>
      <w:r w:rsidRPr="00F2730A">
        <w:rPr>
          <w:rFonts w:ascii="Arial" w:hAnsi="Arial" w:cs="Arial"/>
          <w:sz w:val="20"/>
          <w:szCs w:val="20"/>
        </w:rPr>
        <w:tab/>
      </w:r>
      <w:r w:rsidRPr="00F2730A">
        <w:rPr>
          <w:rFonts w:ascii="Arial" w:hAnsi="Arial" w:cs="Arial"/>
          <w:sz w:val="20"/>
          <w:szCs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7"/>
      <w:r w:rsidRPr="00F2730A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F2730A">
        <w:rPr>
          <w:rFonts w:ascii="Arial" w:hAnsi="Arial" w:cs="Arial"/>
          <w:sz w:val="20"/>
          <w:szCs w:val="20"/>
        </w:rPr>
        <w:fldChar w:fldCharType="end"/>
      </w:r>
      <w:bookmarkEnd w:id="14"/>
      <w:r w:rsidRPr="00F2730A">
        <w:rPr>
          <w:rFonts w:ascii="Arial" w:hAnsi="Arial" w:cs="Arial"/>
          <w:sz w:val="20"/>
          <w:szCs w:val="20"/>
        </w:rPr>
        <w:tab/>
        <w:t xml:space="preserve">By paying the sum of $ </w:t>
      </w:r>
      <w:r w:rsidR="00422B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422B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2B99">
        <w:rPr>
          <w:rFonts w:ascii="Arial" w:hAnsi="Arial" w:cs="Arial"/>
          <w:sz w:val="20"/>
          <w:szCs w:val="20"/>
          <w:u w:val="single"/>
        </w:rPr>
      </w:r>
      <w:r w:rsidR="00422B99">
        <w:rPr>
          <w:rFonts w:ascii="Arial" w:hAnsi="Arial" w:cs="Arial"/>
          <w:sz w:val="20"/>
          <w:szCs w:val="20"/>
          <w:u w:val="single"/>
        </w:rPr>
        <w:fldChar w:fldCharType="separate"/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 xml:space="preserve">                         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noProof/>
          <w:sz w:val="20"/>
          <w:szCs w:val="20"/>
          <w:u w:val="single"/>
        </w:rPr>
        <w:t> </w:t>
      </w:r>
      <w:r w:rsidR="00422B99">
        <w:rPr>
          <w:rFonts w:ascii="Arial" w:hAnsi="Arial" w:cs="Arial"/>
          <w:sz w:val="20"/>
          <w:szCs w:val="20"/>
          <w:u w:val="single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 xml:space="preserve"> on or before </w:t>
      </w:r>
      <w:r w:rsidR="0061176C">
        <w:rPr>
          <w:rFonts w:ascii="Arial" w:hAnsi="Arial" w:cs="Arial"/>
          <w:sz w:val="20"/>
          <w:szCs w:val="20"/>
        </w:rPr>
        <w:t>(</w:t>
      </w:r>
      <w:r w:rsidR="0061176C" w:rsidRPr="002364A4">
        <w:rPr>
          <w:rFonts w:ascii="Arial" w:hAnsi="Arial" w:cs="Arial"/>
          <w:i/>
          <w:sz w:val="20"/>
          <w:szCs w:val="20"/>
        </w:rPr>
        <w:t>date</w:t>
      </w:r>
      <w:r w:rsidR="0061176C">
        <w:rPr>
          <w:rFonts w:ascii="Arial" w:hAnsi="Arial" w:cs="Arial"/>
          <w:sz w:val="20"/>
          <w:szCs w:val="20"/>
        </w:rPr>
        <w:t>)</w:t>
      </w:r>
      <w:r w:rsidR="0061176C" w:rsidRPr="00CB02E1">
        <w:rPr>
          <w:rFonts w:ascii="Arial" w:hAnsi="Arial" w:cs="Arial"/>
          <w:sz w:val="20"/>
          <w:szCs w:val="20"/>
          <w:u w:val="single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F2730A">
        <w:rPr>
          <w:rFonts w:ascii="Arial" w:hAnsi="Arial" w:cs="Arial"/>
          <w:sz w:val="20"/>
          <w:szCs w:val="20"/>
        </w:rPr>
        <w:t>,</w:t>
      </w:r>
    </w:p>
    <w:p w:rsidR="004211A7" w:rsidRDefault="004211A7" w:rsidP="0046572B">
      <w:pPr>
        <w:tabs>
          <w:tab w:val="left" w:pos="720"/>
          <w:tab w:val="left" w:pos="1080"/>
        </w:tabs>
        <w:spacing w:before="120" w:line="276" w:lineRule="auto"/>
        <w:ind w:left="1440" w:hanging="1080"/>
        <w:rPr>
          <w:rFonts w:ascii="Arial" w:hAnsi="Arial" w:cs="Arial"/>
          <w:sz w:val="20"/>
          <w:szCs w:val="20"/>
        </w:rPr>
      </w:pPr>
      <w:r w:rsidRPr="00F2730A">
        <w:rPr>
          <w:rFonts w:ascii="Arial" w:hAnsi="Arial" w:cs="Arial"/>
          <w:sz w:val="20"/>
          <w:szCs w:val="20"/>
        </w:rPr>
        <w:t>e.</w:t>
      </w:r>
      <w:r w:rsidRPr="00F2730A">
        <w:rPr>
          <w:rFonts w:ascii="Arial" w:hAnsi="Arial" w:cs="Arial"/>
          <w:sz w:val="20"/>
          <w:szCs w:val="20"/>
        </w:rPr>
        <w:tab/>
      </w:r>
      <w:r w:rsidRPr="00F2730A">
        <w:rPr>
          <w:rFonts w:ascii="Arial" w:hAnsi="Arial" w:cs="Arial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8"/>
      <w:r w:rsidRPr="00F2730A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F2730A">
        <w:rPr>
          <w:rFonts w:ascii="Arial" w:hAnsi="Arial" w:cs="Arial"/>
          <w:sz w:val="20"/>
          <w:szCs w:val="20"/>
        </w:rPr>
        <w:fldChar w:fldCharType="end"/>
      </w:r>
      <w:bookmarkEnd w:id="15"/>
      <w:r w:rsidRPr="00F2730A"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 xml:space="preserve"> (</w:t>
      </w:r>
      <w:r w:rsidRPr="00A91CF2">
        <w:rPr>
          <w:rFonts w:ascii="Arial" w:hAnsi="Arial" w:cs="Arial"/>
          <w:i/>
          <w:sz w:val="20"/>
          <w:szCs w:val="20"/>
        </w:rPr>
        <w:t>specify</w:t>
      </w:r>
      <w:r>
        <w:rPr>
          <w:rFonts w:ascii="Arial" w:hAnsi="Arial" w:cs="Arial"/>
          <w:sz w:val="20"/>
          <w:szCs w:val="20"/>
        </w:rPr>
        <w:t>)</w:t>
      </w:r>
      <w:r w:rsidRPr="00F2730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5B0" w:rsidRDefault="00A215B0" w:rsidP="0046572B">
      <w:pPr>
        <w:tabs>
          <w:tab w:val="left" w:pos="720"/>
          <w:tab w:val="left" w:pos="1080"/>
        </w:tabs>
        <w:spacing w:after="120" w:line="276" w:lineRule="auto"/>
        <w:ind w:left="1440" w:hanging="1080"/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4.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Debtor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Pr="00457C3E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maintain insurance coverage on the </w:t>
      </w:r>
      <w:r w:rsidR="0046572B">
        <w:rPr>
          <w:rFonts w:ascii="Arial" w:hAnsi="Arial" w:cs="Arial"/>
          <w:sz w:val="20"/>
          <w:szCs w:val="20"/>
        </w:rPr>
        <w:t>P</w:t>
      </w:r>
      <w:r w:rsidRPr="00CB5473">
        <w:rPr>
          <w:rFonts w:ascii="Arial" w:hAnsi="Arial" w:cs="Arial"/>
          <w:sz w:val="20"/>
          <w:szCs w:val="20"/>
        </w:rPr>
        <w:t xml:space="preserve">roperty and </w:t>
      </w:r>
      <w:r w:rsidRPr="00457C3E">
        <w:rPr>
          <w:rFonts w:ascii="Arial" w:hAnsi="Arial" w:cs="Arial"/>
          <w:sz w:val="20"/>
          <w:szCs w:val="20"/>
        </w:rPr>
        <w:t xml:space="preserve">must </w:t>
      </w:r>
      <w:r w:rsidRPr="00CB5473">
        <w:rPr>
          <w:rFonts w:ascii="Arial" w:hAnsi="Arial" w:cs="Arial"/>
          <w:sz w:val="20"/>
          <w:szCs w:val="20"/>
        </w:rPr>
        <w:t xml:space="preserve">remain current on all taxes that fall due postpetition with regard to the </w:t>
      </w:r>
      <w:r w:rsidR="0046572B">
        <w:rPr>
          <w:rFonts w:ascii="Arial" w:hAnsi="Arial" w:cs="Arial"/>
          <w:sz w:val="20"/>
          <w:szCs w:val="20"/>
        </w:rPr>
        <w:t>P</w:t>
      </w:r>
      <w:r w:rsidRPr="00CB5473">
        <w:rPr>
          <w:rFonts w:ascii="Arial" w:hAnsi="Arial" w:cs="Arial"/>
          <w:sz w:val="20"/>
          <w:szCs w:val="20"/>
        </w:rPr>
        <w:t xml:space="preserve">roperty.  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5.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The Debtor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Pr="00457C3E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file a </w:t>
      </w:r>
      <w:r w:rsidR="00F64554">
        <w:rPr>
          <w:rFonts w:ascii="Arial" w:hAnsi="Arial" w:cs="Arial"/>
          <w:sz w:val="20"/>
          <w:szCs w:val="20"/>
        </w:rPr>
        <w:t>d</w:t>
      </w:r>
      <w:r w:rsidRPr="00CB5473">
        <w:rPr>
          <w:rFonts w:ascii="Arial" w:hAnsi="Arial" w:cs="Arial"/>
          <w:sz w:val="20"/>
          <w:szCs w:val="20"/>
        </w:rPr>
        <w:t xml:space="preserve">isclosure </w:t>
      </w:r>
      <w:r w:rsidR="00F64554">
        <w:rPr>
          <w:rFonts w:ascii="Arial" w:hAnsi="Arial" w:cs="Arial"/>
          <w:sz w:val="20"/>
          <w:szCs w:val="20"/>
        </w:rPr>
        <w:t>s</w:t>
      </w:r>
      <w:r w:rsidRPr="00CB5473">
        <w:rPr>
          <w:rFonts w:ascii="Arial" w:hAnsi="Arial" w:cs="Arial"/>
          <w:sz w:val="20"/>
          <w:szCs w:val="20"/>
        </w:rPr>
        <w:t xml:space="preserve">tatement and </w:t>
      </w:r>
      <w:r w:rsidR="00F64554">
        <w:rPr>
          <w:rFonts w:ascii="Arial" w:hAnsi="Arial" w:cs="Arial"/>
          <w:sz w:val="20"/>
          <w:szCs w:val="20"/>
        </w:rPr>
        <w:t>p</w:t>
      </w:r>
      <w:r w:rsidRPr="00CB5473">
        <w:rPr>
          <w:rFonts w:ascii="Arial" w:hAnsi="Arial" w:cs="Arial"/>
          <w:sz w:val="20"/>
          <w:szCs w:val="20"/>
        </w:rPr>
        <w:t xml:space="preserve">lan on or before </w:t>
      </w:r>
      <w:r w:rsidRPr="006117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date</w:t>
      </w:r>
      <w:r w:rsidRPr="0061176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A215B0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15B0" w:rsidRPr="00CB02E1">
        <w:rPr>
          <w:rFonts w:ascii="Arial" w:hAnsi="Arial" w:cs="Arial"/>
          <w:sz w:val="20"/>
          <w:szCs w:val="20"/>
          <w:u w:val="single"/>
        </w:rPr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A215B0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A215B0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A215B0" w:rsidRPr="00CB02E1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4211A7" w:rsidRPr="00CB5473" w:rsidRDefault="004211A7" w:rsidP="004211A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64554">
        <w:rPr>
          <w:rFonts w:ascii="Arial" w:hAnsi="Arial" w:cs="Arial"/>
          <w:sz w:val="20"/>
          <w:szCs w:val="20"/>
        </w:rPr>
        <w:t>d</w:t>
      </w:r>
      <w:r w:rsidRPr="00CB5473">
        <w:rPr>
          <w:rFonts w:ascii="Arial" w:hAnsi="Arial" w:cs="Arial"/>
          <w:sz w:val="20"/>
          <w:szCs w:val="20"/>
        </w:rPr>
        <w:t xml:space="preserve">isclosure </w:t>
      </w:r>
      <w:r w:rsidR="00F64554">
        <w:rPr>
          <w:rFonts w:ascii="Arial" w:hAnsi="Arial" w:cs="Arial"/>
          <w:sz w:val="20"/>
          <w:szCs w:val="20"/>
        </w:rPr>
        <w:t>s</w:t>
      </w:r>
      <w:r w:rsidRPr="00CB5473">
        <w:rPr>
          <w:rFonts w:ascii="Arial" w:hAnsi="Arial" w:cs="Arial"/>
          <w:sz w:val="20"/>
          <w:szCs w:val="20"/>
        </w:rPr>
        <w:t xml:space="preserve">tatement </w:t>
      </w:r>
      <w:r w:rsidRPr="00457C3E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be approved on or before </w:t>
      </w:r>
      <w:r w:rsidR="0061176C" w:rsidRPr="0061176C">
        <w:rPr>
          <w:rFonts w:ascii="Arial" w:hAnsi="Arial" w:cs="Arial"/>
          <w:sz w:val="20"/>
          <w:szCs w:val="20"/>
        </w:rPr>
        <w:t>(</w:t>
      </w:r>
      <w:r w:rsidR="0061176C">
        <w:rPr>
          <w:rFonts w:ascii="Arial" w:hAnsi="Arial" w:cs="Arial"/>
          <w:i/>
          <w:sz w:val="20"/>
          <w:szCs w:val="20"/>
        </w:rPr>
        <w:t>date</w:t>
      </w:r>
      <w:r w:rsidR="0061176C" w:rsidRPr="0061176C">
        <w:rPr>
          <w:rFonts w:ascii="Arial" w:hAnsi="Arial" w:cs="Arial"/>
          <w:sz w:val="20"/>
          <w:szCs w:val="20"/>
        </w:rPr>
        <w:t>)</w:t>
      </w:r>
      <w:r w:rsidR="0061176C">
        <w:rPr>
          <w:rFonts w:ascii="Arial" w:hAnsi="Arial" w:cs="Arial"/>
          <w:sz w:val="20"/>
          <w:szCs w:val="20"/>
        </w:rPr>
        <w:t xml:space="preserve"> </w:t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1176C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176C" w:rsidRPr="00CB02E1">
        <w:rPr>
          <w:rFonts w:ascii="Arial" w:hAnsi="Arial" w:cs="Arial"/>
          <w:sz w:val="20"/>
          <w:szCs w:val="20"/>
          <w:u w:val="single"/>
        </w:rPr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1176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61176C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211A7" w:rsidRPr="00C51D95" w:rsidRDefault="004211A7" w:rsidP="004211A7">
      <w:pPr>
        <w:ind w:left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 xml:space="preserve">The </w:t>
      </w:r>
      <w:r w:rsidR="00F64554">
        <w:rPr>
          <w:rFonts w:ascii="Arial" w:hAnsi="Arial" w:cs="Arial"/>
          <w:sz w:val="20"/>
          <w:szCs w:val="20"/>
        </w:rPr>
        <w:t>p</w:t>
      </w:r>
      <w:r w:rsidRPr="00CB5473">
        <w:rPr>
          <w:rFonts w:ascii="Arial" w:hAnsi="Arial" w:cs="Arial"/>
          <w:sz w:val="20"/>
          <w:szCs w:val="20"/>
        </w:rPr>
        <w:t xml:space="preserve">lan </w:t>
      </w:r>
      <w:r w:rsidRPr="00457C3E">
        <w:rPr>
          <w:rFonts w:ascii="Arial" w:hAnsi="Arial" w:cs="Arial"/>
          <w:sz w:val="20"/>
          <w:szCs w:val="20"/>
        </w:rPr>
        <w:t xml:space="preserve">must </w:t>
      </w:r>
      <w:r w:rsidRPr="00CB5473">
        <w:rPr>
          <w:rFonts w:ascii="Arial" w:hAnsi="Arial" w:cs="Arial"/>
          <w:sz w:val="20"/>
          <w:szCs w:val="20"/>
        </w:rPr>
        <w:t>be confirmed on or before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1176C" w:rsidRPr="0061176C">
        <w:rPr>
          <w:rFonts w:ascii="Arial" w:hAnsi="Arial" w:cs="Arial"/>
          <w:sz w:val="20"/>
          <w:szCs w:val="20"/>
        </w:rPr>
        <w:t>(</w:t>
      </w:r>
      <w:r w:rsidR="0061176C">
        <w:rPr>
          <w:rFonts w:ascii="Arial" w:hAnsi="Arial" w:cs="Arial"/>
          <w:i/>
          <w:sz w:val="20"/>
          <w:szCs w:val="20"/>
        </w:rPr>
        <w:t>date</w:t>
      </w:r>
      <w:r w:rsidR="0061176C" w:rsidRPr="0061176C">
        <w:rPr>
          <w:rFonts w:ascii="Arial" w:hAnsi="Arial" w:cs="Arial"/>
          <w:sz w:val="20"/>
          <w:szCs w:val="20"/>
        </w:rPr>
        <w:t>)</w:t>
      </w:r>
      <w:r w:rsidR="0061176C">
        <w:rPr>
          <w:rFonts w:ascii="Arial" w:hAnsi="Arial" w:cs="Arial"/>
          <w:sz w:val="20"/>
          <w:szCs w:val="20"/>
        </w:rPr>
        <w:t xml:space="preserve"> </w:t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1176C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1176C" w:rsidRPr="00CB02E1">
        <w:rPr>
          <w:rFonts w:ascii="Arial" w:hAnsi="Arial" w:cs="Arial"/>
          <w:sz w:val="20"/>
          <w:szCs w:val="20"/>
          <w:u w:val="single"/>
        </w:rPr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1176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61176C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1176C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1176C" w:rsidRPr="00CB02E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6.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>Upon any default in the terms and conditions</w:t>
      </w:r>
      <w:r w:rsidR="004C6D3C">
        <w:rPr>
          <w:rFonts w:ascii="Arial" w:hAnsi="Arial" w:cs="Arial"/>
          <w:sz w:val="20"/>
          <w:szCs w:val="20"/>
        </w:rPr>
        <w:t xml:space="preserve"> set forth in paragraphs 1 through 5 </w:t>
      </w:r>
      <w:r w:rsidR="0079048A">
        <w:rPr>
          <w:rFonts w:ascii="Arial" w:hAnsi="Arial" w:cs="Arial"/>
          <w:sz w:val="20"/>
          <w:szCs w:val="20"/>
        </w:rPr>
        <w:t>of this Adequate Protection Agreement</w:t>
      </w:r>
      <w:r w:rsidRPr="00CB5473">
        <w:rPr>
          <w:rFonts w:ascii="Arial" w:hAnsi="Arial" w:cs="Arial"/>
          <w:sz w:val="20"/>
          <w:szCs w:val="20"/>
        </w:rPr>
        <w:t xml:space="preserve">, Movant </w:t>
      </w:r>
      <w:r w:rsidRPr="00457C3E">
        <w:rPr>
          <w:rFonts w:ascii="Arial" w:hAnsi="Arial" w:cs="Arial"/>
          <w:sz w:val="20"/>
          <w:szCs w:val="20"/>
        </w:rPr>
        <w:t xml:space="preserve">must </w:t>
      </w:r>
      <w:r w:rsidRPr="00CB5473">
        <w:rPr>
          <w:rFonts w:ascii="Arial" w:hAnsi="Arial" w:cs="Arial"/>
          <w:sz w:val="20"/>
          <w:szCs w:val="20"/>
        </w:rPr>
        <w:t xml:space="preserve">serve written notice of default to </w:t>
      </w:r>
      <w:r w:rsidR="0061176C">
        <w:rPr>
          <w:rFonts w:ascii="Arial" w:hAnsi="Arial" w:cs="Arial"/>
          <w:sz w:val="20"/>
          <w:szCs w:val="20"/>
        </w:rPr>
        <w:t xml:space="preserve">the </w:t>
      </w:r>
      <w:r w:rsidRPr="00CB5473">
        <w:rPr>
          <w:rFonts w:ascii="Arial" w:hAnsi="Arial" w:cs="Arial"/>
          <w:sz w:val="20"/>
          <w:szCs w:val="20"/>
        </w:rPr>
        <w:t xml:space="preserve">Debtor </w:t>
      </w:r>
      <w:r>
        <w:rPr>
          <w:rFonts w:ascii="Arial" w:hAnsi="Arial" w:cs="Arial"/>
          <w:sz w:val="20"/>
          <w:szCs w:val="20"/>
        </w:rPr>
        <w:t xml:space="preserve">and </w:t>
      </w:r>
      <w:r w:rsidR="0061176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Debtor’s attorney, if any</w:t>
      </w:r>
      <w:r w:rsidRPr="00CB5473">
        <w:rPr>
          <w:rFonts w:ascii="Arial" w:hAnsi="Arial" w:cs="Arial"/>
          <w:sz w:val="20"/>
          <w:szCs w:val="20"/>
        </w:rPr>
        <w:t xml:space="preserve">.  If </w:t>
      </w:r>
      <w:r w:rsidR="0061176C">
        <w:rPr>
          <w:rFonts w:ascii="Arial" w:hAnsi="Arial" w:cs="Arial"/>
          <w:sz w:val="20"/>
          <w:szCs w:val="20"/>
        </w:rPr>
        <w:t xml:space="preserve">the </w:t>
      </w:r>
      <w:r w:rsidRPr="00CB5473">
        <w:rPr>
          <w:rFonts w:ascii="Arial" w:hAnsi="Arial" w:cs="Arial"/>
          <w:sz w:val="20"/>
          <w:szCs w:val="20"/>
        </w:rPr>
        <w:t xml:space="preserve">Debtor fails to cure the default within 14 days after </w:t>
      </w:r>
      <w:r>
        <w:rPr>
          <w:rFonts w:ascii="Arial" w:hAnsi="Arial" w:cs="Arial"/>
          <w:sz w:val="20"/>
          <w:szCs w:val="20"/>
        </w:rPr>
        <w:t>service</w:t>
      </w:r>
      <w:r w:rsidRPr="00CB5473">
        <w:rPr>
          <w:rFonts w:ascii="Arial" w:hAnsi="Arial" w:cs="Arial"/>
          <w:sz w:val="20"/>
          <w:szCs w:val="20"/>
        </w:rPr>
        <w:t xml:space="preserve"> of such written notice</w:t>
      </w:r>
      <w:r w:rsidRPr="00457C3E">
        <w:rPr>
          <w:rFonts w:ascii="Arial" w:hAnsi="Arial" w:cs="Arial"/>
          <w:sz w:val="20"/>
          <w:szCs w:val="20"/>
        </w:rPr>
        <w:t>: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AE7BBC">
      <w:pPr>
        <w:tabs>
          <w:tab w:val="left" w:pos="720"/>
          <w:tab w:val="left" w:pos="108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a.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>The stay automatically terminate</w:t>
      </w:r>
      <w:r w:rsidRPr="00457C3E">
        <w:rPr>
          <w:rFonts w:ascii="Arial" w:hAnsi="Arial" w:cs="Arial"/>
          <w:sz w:val="20"/>
          <w:szCs w:val="20"/>
        </w:rPr>
        <w:t>s</w:t>
      </w:r>
      <w:r w:rsidRPr="00CB5473">
        <w:rPr>
          <w:rFonts w:ascii="Arial" w:hAnsi="Arial" w:cs="Arial"/>
          <w:sz w:val="20"/>
          <w:szCs w:val="20"/>
        </w:rPr>
        <w:t xml:space="preserve"> without further notice, hearing or order.</w:t>
      </w:r>
    </w:p>
    <w:p w:rsidR="004211A7" w:rsidRPr="00CB5473" w:rsidRDefault="004211A7" w:rsidP="00AE7BBC">
      <w:pPr>
        <w:tabs>
          <w:tab w:val="left" w:pos="720"/>
          <w:tab w:val="left" w:pos="108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b.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 xml:space="preserve">Movant may file and serve a declaration under penalty of perjury specifying the default, together with a proposed order terminating the stay, which the </w:t>
      </w:r>
      <w:r>
        <w:rPr>
          <w:rFonts w:ascii="Arial" w:hAnsi="Arial" w:cs="Arial"/>
          <w:sz w:val="20"/>
          <w:szCs w:val="20"/>
        </w:rPr>
        <w:t>c</w:t>
      </w:r>
      <w:r w:rsidRPr="00CB5473">
        <w:rPr>
          <w:rFonts w:ascii="Arial" w:hAnsi="Arial" w:cs="Arial"/>
          <w:sz w:val="20"/>
          <w:szCs w:val="20"/>
        </w:rPr>
        <w:t xml:space="preserve">ourt may grant without further notice or hearing. </w:t>
      </w:r>
    </w:p>
    <w:p w:rsidR="004211A7" w:rsidRPr="00CB5473" w:rsidRDefault="004211A7" w:rsidP="00AE7BBC">
      <w:pPr>
        <w:tabs>
          <w:tab w:val="left" w:pos="720"/>
          <w:tab w:val="left" w:pos="108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c.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 xml:space="preserve">The Movant may move for relief from the stay upon shortened notice in accordance with </w:t>
      </w:r>
      <w:r>
        <w:rPr>
          <w:rFonts w:ascii="Arial" w:hAnsi="Arial" w:cs="Arial"/>
          <w:sz w:val="20"/>
          <w:szCs w:val="20"/>
        </w:rPr>
        <w:t>LBRs</w:t>
      </w:r>
      <w:r w:rsidRPr="00CB5473">
        <w:rPr>
          <w:rFonts w:ascii="Arial" w:hAnsi="Arial" w:cs="Arial"/>
          <w:sz w:val="20"/>
          <w:szCs w:val="20"/>
        </w:rPr>
        <w:t xml:space="preserve">. </w:t>
      </w:r>
    </w:p>
    <w:p w:rsidR="004211A7" w:rsidRPr="00CB5473" w:rsidRDefault="004211A7" w:rsidP="00AE7BBC">
      <w:pPr>
        <w:tabs>
          <w:tab w:val="left" w:pos="720"/>
          <w:tab w:val="left" w:pos="108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d.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>The Movant may move for relief from the stay on regular notice.</w:t>
      </w:r>
    </w:p>
    <w:p w:rsidR="004211A7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7.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 xml:space="preserve">Notwithstanding anything contained </w:t>
      </w:r>
      <w:r w:rsidR="0079048A">
        <w:rPr>
          <w:rFonts w:ascii="Arial" w:hAnsi="Arial" w:cs="Arial"/>
          <w:sz w:val="20"/>
          <w:szCs w:val="20"/>
        </w:rPr>
        <w:t>in this Adequate Protection Agreement</w:t>
      </w:r>
      <w:r w:rsidR="0079048A" w:rsidRPr="00CB5473"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>to the contrary, the Debtor shall be entitled to a maximum of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>(</w:t>
      </w:r>
      <w:r w:rsidRPr="007832D7">
        <w:rPr>
          <w:rFonts w:ascii="Arial" w:hAnsi="Arial" w:cs="Arial"/>
          <w:i/>
          <w:sz w:val="20"/>
          <w:szCs w:val="20"/>
        </w:rPr>
        <w:t>number</w:t>
      </w:r>
      <w:r w:rsidRPr="00CB547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  <w:u w:val="single"/>
        </w:rPr>
        <w:t>______</w:t>
      </w:r>
      <w:r w:rsidRPr="00CB5473">
        <w:rPr>
          <w:rFonts w:ascii="Arial" w:hAnsi="Arial" w:cs="Arial"/>
          <w:sz w:val="20"/>
          <w:szCs w:val="20"/>
        </w:rPr>
        <w:t xml:space="preserve"> notices of default and opportunities to cure pursuant to the prec</w:t>
      </w:r>
      <w:r>
        <w:rPr>
          <w:rFonts w:ascii="Arial" w:hAnsi="Arial" w:cs="Arial"/>
          <w:sz w:val="20"/>
          <w:szCs w:val="20"/>
        </w:rPr>
        <w:t>ed</w:t>
      </w:r>
      <w:r w:rsidRPr="00CB5473">
        <w:rPr>
          <w:rFonts w:ascii="Arial" w:hAnsi="Arial" w:cs="Arial"/>
          <w:sz w:val="20"/>
          <w:szCs w:val="20"/>
        </w:rPr>
        <w:t xml:space="preserve">ing paragraph.  Once </w:t>
      </w:r>
      <w:r w:rsidR="0061176C">
        <w:rPr>
          <w:rFonts w:ascii="Arial" w:hAnsi="Arial" w:cs="Arial"/>
          <w:sz w:val="20"/>
          <w:szCs w:val="20"/>
        </w:rPr>
        <w:t>the</w:t>
      </w:r>
      <w:r w:rsidRPr="00CB5473">
        <w:rPr>
          <w:rFonts w:ascii="Arial" w:hAnsi="Arial" w:cs="Arial"/>
          <w:sz w:val="20"/>
          <w:szCs w:val="20"/>
        </w:rPr>
        <w:t xml:space="preserve"> Debtor has defaulted this number of times on the obligations imposed by this </w:t>
      </w:r>
      <w:r w:rsidR="00C14CCF">
        <w:rPr>
          <w:rFonts w:ascii="Arial" w:hAnsi="Arial" w:cs="Arial"/>
          <w:sz w:val="20"/>
          <w:szCs w:val="20"/>
        </w:rPr>
        <w:t>o</w:t>
      </w:r>
      <w:r w:rsidR="00C14CCF" w:rsidRPr="00CB5473">
        <w:rPr>
          <w:rFonts w:ascii="Arial" w:hAnsi="Arial" w:cs="Arial"/>
          <w:sz w:val="20"/>
          <w:szCs w:val="20"/>
        </w:rPr>
        <w:t xml:space="preserve">rder </w:t>
      </w:r>
      <w:r w:rsidRPr="00CB5473">
        <w:rPr>
          <w:rFonts w:ascii="Arial" w:hAnsi="Arial" w:cs="Arial"/>
          <w:sz w:val="20"/>
          <w:szCs w:val="20"/>
        </w:rPr>
        <w:t xml:space="preserve">and has been served with this number of notices of default, Movant </w:t>
      </w:r>
      <w:r w:rsidRPr="00457C3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relieved of any obligation to serve additional notices of default </w:t>
      </w:r>
      <w:r>
        <w:rPr>
          <w:rFonts w:ascii="Arial" w:hAnsi="Arial" w:cs="Arial"/>
          <w:sz w:val="20"/>
          <w:szCs w:val="20"/>
        </w:rPr>
        <w:t>or to</w:t>
      </w:r>
      <w:r w:rsidRPr="00CB5473">
        <w:rPr>
          <w:rFonts w:ascii="Arial" w:hAnsi="Arial" w:cs="Arial"/>
          <w:sz w:val="20"/>
          <w:szCs w:val="20"/>
        </w:rPr>
        <w:t xml:space="preserve"> provide additional opportunities to cure.  If an event of default occurs thereafter, Movant </w:t>
      </w:r>
      <w:r w:rsidRPr="00457C3E">
        <w:rPr>
          <w:rFonts w:ascii="Arial" w:hAnsi="Arial" w:cs="Arial"/>
          <w:sz w:val="20"/>
          <w:szCs w:val="20"/>
        </w:rPr>
        <w:t xml:space="preserve">will </w:t>
      </w:r>
      <w:r w:rsidRPr="00CB5473">
        <w:rPr>
          <w:rFonts w:ascii="Arial" w:hAnsi="Arial" w:cs="Arial"/>
          <w:sz w:val="20"/>
          <w:szCs w:val="20"/>
        </w:rPr>
        <w:t xml:space="preserve">be entitled, without first serving a notice of </w:t>
      </w:r>
      <w:r>
        <w:rPr>
          <w:rFonts w:ascii="Arial" w:hAnsi="Arial" w:cs="Arial"/>
          <w:sz w:val="20"/>
          <w:szCs w:val="20"/>
        </w:rPr>
        <w:t>default or providing the Debtor</w:t>
      </w:r>
      <w:r w:rsidRPr="00CB5473">
        <w:rPr>
          <w:rFonts w:ascii="Arial" w:hAnsi="Arial" w:cs="Arial"/>
          <w:sz w:val="20"/>
          <w:szCs w:val="20"/>
        </w:rPr>
        <w:t xml:space="preserve"> with an opportunity to cure, to file and serve a declaration under penalty of perjury setting forth in detail the Debtor’s failures to perform under</w:t>
      </w:r>
      <w:r w:rsidR="00221918">
        <w:rPr>
          <w:rFonts w:ascii="Arial" w:hAnsi="Arial" w:cs="Arial"/>
          <w:sz w:val="20"/>
          <w:szCs w:val="20"/>
        </w:rPr>
        <w:t xml:space="preserve"> this </w:t>
      </w:r>
      <w:r w:rsidR="00221918">
        <w:rPr>
          <w:rFonts w:ascii="Arial" w:hAnsi="Arial" w:cs="Arial"/>
          <w:sz w:val="20"/>
          <w:szCs w:val="20"/>
        </w:rPr>
        <w:lastRenderedPageBreak/>
        <w:t>Adequate Protection Agreement</w:t>
      </w:r>
      <w:r w:rsidRPr="00CB5473">
        <w:rPr>
          <w:rFonts w:ascii="Arial" w:hAnsi="Arial" w:cs="Arial"/>
          <w:sz w:val="20"/>
          <w:szCs w:val="20"/>
        </w:rPr>
        <w:t xml:space="preserve">, together with a proposed order terminating the stay, which the </w:t>
      </w:r>
      <w:r>
        <w:rPr>
          <w:rFonts w:ascii="Arial" w:hAnsi="Arial" w:cs="Arial"/>
          <w:sz w:val="20"/>
          <w:szCs w:val="20"/>
        </w:rPr>
        <w:t>c</w:t>
      </w:r>
      <w:r w:rsidRPr="00CB5473">
        <w:rPr>
          <w:rFonts w:ascii="Arial" w:hAnsi="Arial" w:cs="Arial"/>
          <w:sz w:val="20"/>
          <w:szCs w:val="20"/>
        </w:rPr>
        <w:t xml:space="preserve">ourt may enter without further notice or hearing. 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8.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>Th</w:t>
      </w:r>
      <w:r w:rsidR="00221918">
        <w:rPr>
          <w:rFonts w:ascii="Arial" w:hAnsi="Arial" w:cs="Arial"/>
          <w:sz w:val="20"/>
          <w:szCs w:val="20"/>
        </w:rPr>
        <w:t>is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="00221918">
        <w:rPr>
          <w:rFonts w:ascii="Arial" w:hAnsi="Arial" w:cs="Arial"/>
          <w:sz w:val="20"/>
          <w:szCs w:val="20"/>
        </w:rPr>
        <w:t>Adequate Protection Agreement</w:t>
      </w:r>
      <w:r w:rsidRPr="00CB5473">
        <w:rPr>
          <w:rFonts w:ascii="Arial" w:hAnsi="Arial" w:cs="Arial"/>
          <w:sz w:val="20"/>
          <w:szCs w:val="20"/>
        </w:rPr>
        <w:t xml:space="preserve"> </w:t>
      </w:r>
      <w:r w:rsidR="00221918">
        <w:rPr>
          <w:rFonts w:ascii="Arial" w:hAnsi="Arial" w:cs="Arial"/>
          <w:sz w:val="20"/>
          <w:szCs w:val="20"/>
        </w:rPr>
        <w:t>is</w:t>
      </w:r>
      <w:r w:rsidRPr="00CB5473">
        <w:rPr>
          <w:rFonts w:ascii="Arial" w:hAnsi="Arial" w:cs="Arial"/>
          <w:sz w:val="20"/>
          <w:szCs w:val="20"/>
        </w:rPr>
        <w:t xml:space="preserve"> binding only during the pendency of this bankruptcy case.  If, at any time, the stay is terminated with respect to the Property by court order or by operation of law, </w:t>
      </w:r>
      <w:r w:rsidR="00F90C8A">
        <w:rPr>
          <w:rFonts w:ascii="Arial" w:hAnsi="Arial" w:cs="Arial"/>
          <w:sz w:val="20"/>
          <w:szCs w:val="20"/>
        </w:rPr>
        <w:t>this Adequate Protection Agreement</w:t>
      </w:r>
      <w:r w:rsidR="00F90C8A" w:rsidRPr="00CB5473"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>cease</w:t>
      </w:r>
      <w:r w:rsidR="00F90C8A">
        <w:rPr>
          <w:rFonts w:ascii="Arial" w:hAnsi="Arial" w:cs="Arial"/>
          <w:sz w:val="20"/>
          <w:szCs w:val="20"/>
        </w:rPr>
        <w:t>s</w:t>
      </w:r>
      <w:r w:rsidRPr="00CB5473">
        <w:rPr>
          <w:rFonts w:ascii="Arial" w:hAnsi="Arial" w:cs="Arial"/>
          <w:sz w:val="20"/>
          <w:szCs w:val="20"/>
        </w:rPr>
        <w:t xml:space="preserve"> to be binding and Movant may proceed to enforce its remedies under applicable nonbankruptcy law against the Property and/or against the Debtor. 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9.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 xml:space="preserve">If Movant obtains relief from stay based on </w:t>
      </w:r>
      <w:r w:rsidR="0061176C">
        <w:rPr>
          <w:rFonts w:ascii="Arial" w:hAnsi="Arial" w:cs="Arial"/>
          <w:sz w:val="20"/>
          <w:szCs w:val="20"/>
        </w:rPr>
        <w:t xml:space="preserve">the </w:t>
      </w:r>
      <w:r w:rsidRPr="00CB5473">
        <w:rPr>
          <w:rFonts w:ascii="Arial" w:hAnsi="Arial" w:cs="Arial"/>
          <w:sz w:val="20"/>
          <w:szCs w:val="20"/>
        </w:rPr>
        <w:t>Debtor’s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>defaults under</w:t>
      </w:r>
      <w:r w:rsidR="00A24558">
        <w:rPr>
          <w:rFonts w:ascii="Arial" w:hAnsi="Arial" w:cs="Arial"/>
          <w:sz w:val="20"/>
          <w:szCs w:val="20"/>
        </w:rPr>
        <w:t xml:space="preserve"> this Adequate Protection Agreement</w:t>
      </w:r>
      <w:r w:rsidRPr="00CB5473">
        <w:rPr>
          <w:rFonts w:ascii="Arial" w:hAnsi="Arial" w:cs="Arial"/>
          <w:sz w:val="20"/>
          <w:szCs w:val="20"/>
        </w:rPr>
        <w:t xml:space="preserve">, the order granting </w:t>
      </w:r>
      <w:r>
        <w:rPr>
          <w:rFonts w:ascii="Arial" w:hAnsi="Arial" w:cs="Arial"/>
          <w:sz w:val="20"/>
          <w:szCs w:val="20"/>
        </w:rPr>
        <w:t>such</w:t>
      </w:r>
      <w:r w:rsidRPr="00CB5473">
        <w:rPr>
          <w:rFonts w:ascii="Arial" w:hAnsi="Arial" w:cs="Arial"/>
          <w:sz w:val="20"/>
          <w:szCs w:val="20"/>
        </w:rPr>
        <w:t xml:space="preserve"> relief </w:t>
      </w:r>
      <w:r w:rsidRPr="00457C3E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Pr="00CB5473">
        <w:rPr>
          <w:rFonts w:ascii="Arial" w:hAnsi="Arial" w:cs="Arial"/>
          <w:sz w:val="20"/>
          <w:szCs w:val="20"/>
        </w:rPr>
        <w:t xml:space="preserve">contain a waiver of the 14-day </w:t>
      </w:r>
      <w:r w:rsidRPr="00457C3E">
        <w:rPr>
          <w:rFonts w:ascii="Arial" w:hAnsi="Arial" w:cs="Arial"/>
          <w:sz w:val="20"/>
          <w:szCs w:val="20"/>
        </w:rPr>
        <w:t>stay as provided in</w:t>
      </w:r>
      <w:r>
        <w:rPr>
          <w:rFonts w:ascii="Arial" w:hAnsi="Arial" w:cs="Arial"/>
          <w:sz w:val="20"/>
          <w:szCs w:val="20"/>
        </w:rPr>
        <w:t xml:space="preserve"> FRBP</w:t>
      </w:r>
      <w:r w:rsidRPr="00CB5473">
        <w:rPr>
          <w:rFonts w:ascii="Arial" w:hAnsi="Arial" w:cs="Arial"/>
          <w:sz w:val="20"/>
          <w:szCs w:val="20"/>
        </w:rPr>
        <w:t xml:space="preserve"> 4001(a)(3).  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Pr="00CB5473" w:rsidRDefault="004211A7" w:rsidP="004211A7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10.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 w:rsidRPr="00CB5473">
        <w:rPr>
          <w:rFonts w:ascii="Arial" w:hAnsi="Arial" w:cs="Arial"/>
          <w:sz w:val="20"/>
          <w:szCs w:val="20"/>
        </w:rPr>
        <w:tab/>
        <w:t xml:space="preserve">Movant may accept any and all payments made pursuant to this </w:t>
      </w:r>
      <w:r w:rsidR="00C14CCF">
        <w:rPr>
          <w:rFonts w:ascii="Arial" w:hAnsi="Arial" w:cs="Arial"/>
          <w:sz w:val="20"/>
          <w:szCs w:val="20"/>
        </w:rPr>
        <w:t>o</w:t>
      </w:r>
      <w:r w:rsidR="00C14CCF" w:rsidRPr="00CB5473">
        <w:rPr>
          <w:rFonts w:ascii="Arial" w:hAnsi="Arial" w:cs="Arial"/>
          <w:sz w:val="20"/>
          <w:szCs w:val="20"/>
        </w:rPr>
        <w:t xml:space="preserve">rder </w:t>
      </w:r>
      <w:r w:rsidRPr="00CB5473">
        <w:rPr>
          <w:rFonts w:ascii="Arial" w:hAnsi="Arial" w:cs="Arial"/>
          <w:sz w:val="20"/>
          <w:szCs w:val="20"/>
        </w:rPr>
        <w:t xml:space="preserve">without prejudice to or waiver of any rights or remedies to which </w:t>
      </w:r>
      <w:r>
        <w:rPr>
          <w:rFonts w:ascii="Arial" w:hAnsi="Arial" w:cs="Arial"/>
          <w:sz w:val="20"/>
          <w:szCs w:val="20"/>
        </w:rPr>
        <w:t>Movant</w:t>
      </w:r>
      <w:r w:rsidRPr="00CB5473">
        <w:rPr>
          <w:rFonts w:ascii="Arial" w:hAnsi="Arial" w:cs="Arial"/>
          <w:sz w:val="20"/>
          <w:szCs w:val="20"/>
        </w:rPr>
        <w:t xml:space="preserve"> would otherwise have been entitled under applicable nonbankruptcy law. </w:t>
      </w:r>
    </w:p>
    <w:p w:rsidR="004211A7" w:rsidRPr="00CB5473" w:rsidRDefault="004211A7" w:rsidP="004211A7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sz w:val="20"/>
          <w:szCs w:val="20"/>
        </w:rPr>
      </w:pPr>
    </w:p>
    <w:p w:rsidR="004211A7" w:rsidRDefault="004211A7" w:rsidP="005D030E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CB5473">
        <w:rPr>
          <w:rFonts w:ascii="Arial" w:hAnsi="Arial" w:cs="Arial"/>
          <w:sz w:val="20"/>
          <w:szCs w:val="20"/>
        </w:rPr>
        <w:t>11.</w:t>
      </w:r>
      <w:r w:rsidRPr="00CB5473">
        <w:rPr>
          <w:rFonts w:ascii="Arial" w:hAnsi="Arial" w:cs="Arial"/>
          <w:sz w:val="20"/>
          <w:szCs w:val="20"/>
        </w:rPr>
        <w:tab/>
      </w:r>
      <w:r w:rsidRPr="00CB547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B5473">
        <w:rPr>
          <w:rFonts w:ascii="Arial" w:hAnsi="Arial" w:cs="Arial"/>
          <w:sz w:val="20"/>
          <w:szCs w:val="20"/>
        </w:rPr>
        <w:instrText xml:space="preserve"> FORMCHECKBOX </w:instrText>
      </w:r>
      <w:r w:rsidR="00486F80">
        <w:rPr>
          <w:rFonts w:ascii="Arial" w:hAnsi="Arial" w:cs="Arial"/>
          <w:sz w:val="20"/>
          <w:szCs w:val="20"/>
        </w:rPr>
      </w:r>
      <w:r w:rsidR="00486F80">
        <w:rPr>
          <w:rFonts w:ascii="Arial" w:hAnsi="Arial" w:cs="Arial"/>
          <w:sz w:val="20"/>
          <w:szCs w:val="20"/>
        </w:rPr>
        <w:fldChar w:fldCharType="separate"/>
      </w:r>
      <w:r w:rsidRPr="00CB54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Other (</w:t>
      </w:r>
      <w:r w:rsidRPr="00A91CF2">
        <w:rPr>
          <w:rFonts w:ascii="Arial" w:hAnsi="Arial" w:cs="Arial"/>
          <w:i/>
          <w:sz w:val="20"/>
          <w:szCs w:val="20"/>
        </w:rPr>
        <w:t>specify</w:t>
      </w:r>
      <w:r>
        <w:rPr>
          <w:rFonts w:ascii="Arial" w:hAnsi="Arial" w:cs="Arial"/>
          <w:sz w:val="20"/>
          <w:szCs w:val="20"/>
        </w:rPr>
        <w:t>):</w:t>
      </w:r>
    </w:p>
    <w:p w:rsidR="00A9600C" w:rsidRDefault="00A9600C" w:rsidP="00A215B0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F45756" w:rsidRDefault="00F45756" w:rsidP="00A215B0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5F04F5" w:rsidRDefault="005F04F5" w:rsidP="00A215B0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F45756" w:rsidRDefault="00F45756" w:rsidP="00A215B0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F45756" w:rsidRPr="00A15F29" w:rsidRDefault="00F45756" w:rsidP="00F45756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F45756" w:rsidRPr="00A15F29" w:rsidSect="00AA0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1267" w:left="720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EA" w:rsidRDefault="000608EA">
      <w:r>
        <w:separator/>
      </w:r>
    </w:p>
  </w:endnote>
  <w:endnote w:type="continuationSeparator" w:id="0">
    <w:p w:rsidR="000608EA" w:rsidRDefault="0006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0823A0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CF20F" wp14:editId="403EFABF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F6889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264E4C" wp14:editId="17969C7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91CCD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5D030E">
      <w:rPr>
        <w:rFonts w:ascii="Arial" w:hAnsi="Arial" w:cs="Arial"/>
        <w:color w:val="000000"/>
        <w:sz w:val="16"/>
        <w:szCs w:val="16"/>
      </w:rPr>
      <w:t>mandatory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2F12D8" w:rsidP="00A215B0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  <w:lang w:val="en-US"/>
      </w:rPr>
      <w:t>June 2014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486F80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A215B0">
      <w:rPr>
        <w:rFonts w:ascii="Arial" w:hAnsi="Arial" w:cs="Arial"/>
        <w:b/>
        <w:sz w:val="20"/>
        <w:szCs w:val="20"/>
        <w:lang w:val="en-US"/>
      </w:rPr>
      <w:t xml:space="preserve">F </w:t>
    </w:r>
    <w:r w:rsidR="00603267" w:rsidRPr="00603267">
      <w:rPr>
        <w:rFonts w:ascii="Arial" w:hAnsi="Arial" w:cs="Arial"/>
        <w:b/>
        <w:sz w:val="20"/>
        <w:szCs w:val="20"/>
      </w:rPr>
      <w:t>4001-1.</w:t>
    </w:r>
    <w:r w:rsidR="00603267" w:rsidRPr="00603267">
      <w:rPr>
        <w:rFonts w:ascii="Arial" w:hAnsi="Arial" w:cs="Arial"/>
        <w:b/>
        <w:sz w:val="20"/>
        <w:szCs w:val="20"/>
        <w:lang w:val="en-US"/>
      </w:rPr>
      <w:t>RFS.RP.</w:t>
    </w:r>
    <w:r w:rsidR="00603267" w:rsidRPr="00603267">
      <w:rPr>
        <w:rFonts w:ascii="Arial" w:hAnsi="Arial" w:cs="Arial"/>
        <w:b/>
        <w:sz w:val="20"/>
        <w:szCs w:val="20"/>
      </w:rPr>
      <w:t>ORDER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0" w:rsidRDefault="00486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EA" w:rsidRDefault="000608EA">
      <w:r>
        <w:separator/>
      </w:r>
    </w:p>
  </w:footnote>
  <w:footnote w:type="continuationSeparator" w:id="0">
    <w:p w:rsidR="000608EA" w:rsidRDefault="0006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0" w:rsidRDefault="00486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1" w:rsidRDefault="00AA0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80" w:rsidRDefault="00486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4B236B4"/>
    <w:multiLevelType w:val="hybridMultilevel"/>
    <w:tmpl w:val="B7B6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09D69CF"/>
    <w:multiLevelType w:val="hybridMultilevel"/>
    <w:tmpl w:val="DCCAF2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01B35"/>
    <w:multiLevelType w:val="hybridMultilevel"/>
    <w:tmpl w:val="05087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1F45A4"/>
    <w:multiLevelType w:val="hybridMultilevel"/>
    <w:tmpl w:val="0A88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7A8F"/>
    <w:multiLevelType w:val="hybridMultilevel"/>
    <w:tmpl w:val="668CA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E05A8A"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2A26"/>
    <w:multiLevelType w:val="hybridMultilevel"/>
    <w:tmpl w:val="52389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677C4"/>
    <w:multiLevelType w:val="hybridMultilevel"/>
    <w:tmpl w:val="B3AE88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A63748"/>
    <w:multiLevelType w:val="hybridMultilevel"/>
    <w:tmpl w:val="02864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46065BF"/>
    <w:multiLevelType w:val="hybridMultilevel"/>
    <w:tmpl w:val="4434CBD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48600F6"/>
    <w:multiLevelType w:val="hybridMultilevel"/>
    <w:tmpl w:val="D3E8091E"/>
    <w:lvl w:ilvl="0" w:tplc="0C1AA2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18AC"/>
    <w:multiLevelType w:val="hybridMultilevel"/>
    <w:tmpl w:val="6FD6D96C"/>
    <w:lvl w:ilvl="0" w:tplc="04090019">
      <w:start w:val="1"/>
      <w:numFmt w:val="low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17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y">
    <w15:presenceInfo w15:providerId="None" w15:userId="Ma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0324B"/>
    <w:rsid w:val="000120B4"/>
    <w:rsid w:val="00017EA4"/>
    <w:rsid w:val="00017FAC"/>
    <w:rsid w:val="0002097D"/>
    <w:rsid w:val="00022CCF"/>
    <w:rsid w:val="000449C0"/>
    <w:rsid w:val="00055180"/>
    <w:rsid w:val="000608EA"/>
    <w:rsid w:val="00060977"/>
    <w:rsid w:val="00061EF8"/>
    <w:rsid w:val="00063DE0"/>
    <w:rsid w:val="000668EC"/>
    <w:rsid w:val="00070AD6"/>
    <w:rsid w:val="00077872"/>
    <w:rsid w:val="000814C0"/>
    <w:rsid w:val="000823A0"/>
    <w:rsid w:val="00093EBD"/>
    <w:rsid w:val="000960E2"/>
    <w:rsid w:val="000B144D"/>
    <w:rsid w:val="000B16FA"/>
    <w:rsid w:val="000B425F"/>
    <w:rsid w:val="000B7A6B"/>
    <w:rsid w:val="000C00C5"/>
    <w:rsid w:val="000F004D"/>
    <w:rsid w:val="000F37DD"/>
    <w:rsid w:val="000F71D8"/>
    <w:rsid w:val="00103F0A"/>
    <w:rsid w:val="00103F70"/>
    <w:rsid w:val="00106169"/>
    <w:rsid w:val="00107D1A"/>
    <w:rsid w:val="001361B2"/>
    <w:rsid w:val="0014443F"/>
    <w:rsid w:val="0014673B"/>
    <w:rsid w:val="001531BB"/>
    <w:rsid w:val="001767D1"/>
    <w:rsid w:val="00177A3A"/>
    <w:rsid w:val="00183761"/>
    <w:rsid w:val="00185425"/>
    <w:rsid w:val="00185F07"/>
    <w:rsid w:val="00186BAD"/>
    <w:rsid w:val="001877E9"/>
    <w:rsid w:val="00190FE4"/>
    <w:rsid w:val="001B4D54"/>
    <w:rsid w:val="001C0252"/>
    <w:rsid w:val="001C6196"/>
    <w:rsid w:val="001D278F"/>
    <w:rsid w:val="001D5991"/>
    <w:rsid w:val="001D7A7E"/>
    <w:rsid w:val="001E0CB7"/>
    <w:rsid w:val="001E1331"/>
    <w:rsid w:val="001E1382"/>
    <w:rsid w:val="001E767E"/>
    <w:rsid w:val="001F0904"/>
    <w:rsid w:val="001F19F5"/>
    <w:rsid w:val="001F296C"/>
    <w:rsid w:val="001F3A05"/>
    <w:rsid w:val="001F5B04"/>
    <w:rsid w:val="00202D93"/>
    <w:rsid w:val="00205B58"/>
    <w:rsid w:val="00214AB9"/>
    <w:rsid w:val="00217326"/>
    <w:rsid w:val="00221918"/>
    <w:rsid w:val="002236DD"/>
    <w:rsid w:val="002239CD"/>
    <w:rsid w:val="00224017"/>
    <w:rsid w:val="0022477C"/>
    <w:rsid w:val="00233D2A"/>
    <w:rsid w:val="002364A4"/>
    <w:rsid w:val="00237887"/>
    <w:rsid w:val="00243899"/>
    <w:rsid w:val="00247634"/>
    <w:rsid w:val="00250752"/>
    <w:rsid w:val="002540ED"/>
    <w:rsid w:val="00260DE4"/>
    <w:rsid w:val="00262BC5"/>
    <w:rsid w:val="00270A2B"/>
    <w:rsid w:val="00272A27"/>
    <w:rsid w:val="00272A6E"/>
    <w:rsid w:val="00280057"/>
    <w:rsid w:val="00280DB0"/>
    <w:rsid w:val="00284124"/>
    <w:rsid w:val="00286625"/>
    <w:rsid w:val="00292B00"/>
    <w:rsid w:val="00293CA0"/>
    <w:rsid w:val="002B0745"/>
    <w:rsid w:val="002C4986"/>
    <w:rsid w:val="002D1373"/>
    <w:rsid w:val="002D424F"/>
    <w:rsid w:val="002E2D4E"/>
    <w:rsid w:val="002F12D8"/>
    <w:rsid w:val="00300A02"/>
    <w:rsid w:val="00304A14"/>
    <w:rsid w:val="00307972"/>
    <w:rsid w:val="00340E90"/>
    <w:rsid w:val="0034372F"/>
    <w:rsid w:val="00346A33"/>
    <w:rsid w:val="0035003C"/>
    <w:rsid w:val="00353BF7"/>
    <w:rsid w:val="00355DC9"/>
    <w:rsid w:val="00357A1E"/>
    <w:rsid w:val="00373A8F"/>
    <w:rsid w:val="00376BDB"/>
    <w:rsid w:val="00380331"/>
    <w:rsid w:val="003910FA"/>
    <w:rsid w:val="00391C39"/>
    <w:rsid w:val="003A0C08"/>
    <w:rsid w:val="003A7872"/>
    <w:rsid w:val="003C18AC"/>
    <w:rsid w:val="003D25AF"/>
    <w:rsid w:val="003D6B70"/>
    <w:rsid w:val="003E2371"/>
    <w:rsid w:val="003F10D2"/>
    <w:rsid w:val="00414F3D"/>
    <w:rsid w:val="0041683C"/>
    <w:rsid w:val="004211A7"/>
    <w:rsid w:val="00422B99"/>
    <w:rsid w:val="0043145D"/>
    <w:rsid w:val="00437AD1"/>
    <w:rsid w:val="00440A07"/>
    <w:rsid w:val="0046002B"/>
    <w:rsid w:val="004616D0"/>
    <w:rsid w:val="0046572B"/>
    <w:rsid w:val="0046590A"/>
    <w:rsid w:val="00476DCF"/>
    <w:rsid w:val="004773D5"/>
    <w:rsid w:val="00486F80"/>
    <w:rsid w:val="0049390E"/>
    <w:rsid w:val="00493B61"/>
    <w:rsid w:val="004942CA"/>
    <w:rsid w:val="004A3362"/>
    <w:rsid w:val="004A7E31"/>
    <w:rsid w:val="004C6D3C"/>
    <w:rsid w:val="004D000B"/>
    <w:rsid w:val="004D2D30"/>
    <w:rsid w:val="004D736E"/>
    <w:rsid w:val="004E049D"/>
    <w:rsid w:val="004E334C"/>
    <w:rsid w:val="004E4BC0"/>
    <w:rsid w:val="004F2790"/>
    <w:rsid w:val="004F4CAB"/>
    <w:rsid w:val="00501127"/>
    <w:rsid w:val="00514F2C"/>
    <w:rsid w:val="00525C70"/>
    <w:rsid w:val="005359E3"/>
    <w:rsid w:val="005524B1"/>
    <w:rsid w:val="00563895"/>
    <w:rsid w:val="005737B9"/>
    <w:rsid w:val="00576687"/>
    <w:rsid w:val="005A47E3"/>
    <w:rsid w:val="005B36AE"/>
    <w:rsid w:val="005D030E"/>
    <w:rsid w:val="005D3F0E"/>
    <w:rsid w:val="005E02D2"/>
    <w:rsid w:val="005E48F0"/>
    <w:rsid w:val="005F04F5"/>
    <w:rsid w:val="00603267"/>
    <w:rsid w:val="0061176C"/>
    <w:rsid w:val="0061347A"/>
    <w:rsid w:val="00621EBE"/>
    <w:rsid w:val="006222E9"/>
    <w:rsid w:val="00626BB8"/>
    <w:rsid w:val="00626DB8"/>
    <w:rsid w:val="00631150"/>
    <w:rsid w:val="00632588"/>
    <w:rsid w:val="00632667"/>
    <w:rsid w:val="006460B8"/>
    <w:rsid w:val="006746B8"/>
    <w:rsid w:val="00675AAC"/>
    <w:rsid w:val="00682E24"/>
    <w:rsid w:val="006874A5"/>
    <w:rsid w:val="006909DA"/>
    <w:rsid w:val="006A1F4A"/>
    <w:rsid w:val="006B0DC6"/>
    <w:rsid w:val="006D7C2C"/>
    <w:rsid w:val="006D7EF3"/>
    <w:rsid w:val="006F5A1E"/>
    <w:rsid w:val="00700D5A"/>
    <w:rsid w:val="00701335"/>
    <w:rsid w:val="00702BCF"/>
    <w:rsid w:val="0070660E"/>
    <w:rsid w:val="0072753B"/>
    <w:rsid w:val="00733377"/>
    <w:rsid w:val="00743570"/>
    <w:rsid w:val="00746B41"/>
    <w:rsid w:val="0076210F"/>
    <w:rsid w:val="00763F86"/>
    <w:rsid w:val="00775682"/>
    <w:rsid w:val="0079048A"/>
    <w:rsid w:val="00790F94"/>
    <w:rsid w:val="007A06EE"/>
    <w:rsid w:val="007A1D08"/>
    <w:rsid w:val="007C1BDC"/>
    <w:rsid w:val="007C681C"/>
    <w:rsid w:val="007C6BA4"/>
    <w:rsid w:val="007E2BC6"/>
    <w:rsid w:val="007E732D"/>
    <w:rsid w:val="007F3EAB"/>
    <w:rsid w:val="007F607D"/>
    <w:rsid w:val="00812374"/>
    <w:rsid w:val="00816937"/>
    <w:rsid w:val="0081737A"/>
    <w:rsid w:val="008270D0"/>
    <w:rsid w:val="00831A34"/>
    <w:rsid w:val="00844C87"/>
    <w:rsid w:val="008466BE"/>
    <w:rsid w:val="008563CA"/>
    <w:rsid w:val="0086402C"/>
    <w:rsid w:val="008746B1"/>
    <w:rsid w:val="00884337"/>
    <w:rsid w:val="008848F3"/>
    <w:rsid w:val="00890BE8"/>
    <w:rsid w:val="00893A8F"/>
    <w:rsid w:val="00896B8A"/>
    <w:rsid w:val="008B55A9"/>
    <w:rsid w:val="008C00F1"/>
    <w:rsid w:val="008C207C"/>
    <w:rsid w:val="008D0EF5"/>
    <w:rsid w:val="008D3A91"/>
    <w:rsid w:val="008E0AA8"/>
    <w:rsid w:val="00922154"/>
    <w:rsid w:val="009239DC"/>
    <w:rsid w:val="00926E4D"/>
    <w:rsid w:val="00930115"/>
    <w:rsid w:val="0093049F"/>
    <w:rsid w:val="0094159D"/>
    <w:rsid w:val="009418FF"/>
    <w:rsid w:val="0094544B"/>
    <w:rsid w:val="00965888"/>
    <w:rsid w:val="00967241"/>
    <w:rsid w:val="00970887"/>
    <w:rsid w:val="009763C9"/>
    <w:rsid w:val="00976E8E"/>
    <w:rsid w:val="00981870"/>
    <w:rsid w:val="0099216F"/>
    <w:rsid w:val="00995DC5"/>
    <w:rsid w:val="009A296C"/>
    <w:rsid w:val="009B04A7"/>
    <w:rsid w:val="009B25F5"/>
    <w:rsid w:val="009B41ED"/>
    <w:rsid w:val="009C431F"/>
    <w:rsid w:val="009D3C77"/>
    <w:rsid w:val="009D65DB"/>
    <w:rsid w:val="009E5BFD"/>
    <w:rsid w:val="00A035F2"/>
    <w:rsid w:val="00A048F9"/>
    <w:rsid w:val="00A12458"/>
    <w:rsid w:val="00A15F29"/>
    <w:rsid w:val="00A16F60"/>
    <w:rsid w:val="00A17F04"/>
    <w:rsid w:val="00A215B0"/>
    <w:rsid w:val="00A227BB"/>
    <w:rsid w:val="00A2325B"/>
    <w:rsid w:val="00A24558"/>
    <w:rsid w:val="00A3220D"/>
    <w:rsid w:val="00A33F20"/>
    <w:rsid w:val="00A429EE"/>
    <w:rsid w:val="00A50BF9"/>
    <w:rsid w:val="00A6366D"/>
    <w:rsid w:val="00A65972"/>
    <w:rsid w:val="00A6751B"/>
    <w:rsid w:val="00A82798"/>
    <w:rsid w:val="00A9019F"/>
    <w:rsid w:val="00A9600C"/>
    <w:rsid w:val="00A97323"/>
    <w:rsid w:val="00A97B56"/>
    <w:rsid w:val="00AA0F51"/>
    <w:rsid w:val="00AA501F"/>
    <w:rsid w:val="00AB1272"/>
    <w:rsid w:val="00AC4057"/>
    <w:rsid w:val="00AC6A05"/>
    <w:rsid w:val="00AD59C1"/>
    <w:rsid w:val="00AE1244"/>
    <w:rsid w:val="00AE7BBC"/>
    <w:rsid w:val="00B034F7"/>
    <w:rsid w:val="00B12286"/>
    <w:rsid w:val="00B3505E"/>
    <w:rsid w:val="00B360BA"/>
    <w:rsid w:val="00B36260"/>
    <w:rsid w:val="00B37F88"/>
    <w:rsid w:val="00B41399"/>
    <w:rsid w:val="00B5082A"/>
    <w:rsid w:val="00B51E17"/>
    <w:rsid w:val="00B53E5E"/>
    <w:rsid w:val="00B71DA3"/>
    <w:rsid w:val="00B81A88"/>
    <w:rsid w:val="00B86FE6"/>
    <w:rsid w:val="00B96826"/>
    <w:rsid w:val="00BB539A"/>
    <w:rsid w:val="00BB6902"/>
    <w:rsid w:val="00BC3155"/>
    <w:rsid w:val="00BC5911"/>
    <w:rsid w:val="00BD3DE4"/>
    <w:rsid w:val="00BE0D4B"/>
    <w:rsid w:val="00BE316B"/>
    <w:rsid w:val="00BE3D31"/>
    <w:rsid w:val="00BF000A"/>
    <w:rsid w:val="00BF13D1"/>
    <w:rsid w:val="00BF6593"/>
    <w:rsid w:val="00BF78B9"/>
    <w:rsid w:val="00C03031"/>
    <w:rsid w:val="00C107E6"/>
    <w:rsid w:val="00C14CCF"/>
    <w:rsid w:val="00C26E99"/>
    <w:rsid w:val="00C31AF9"/>
    <w:rsid w:val="00C3391A"/>
    <w:rsid w:val="00C56EC5"/>
    <w:rsid w:val="00C62B26"/>
    <w:rsid w:val="00C673F6"/>
    <w:rsid w:val="00C76DEF"/>
    <w:rsid w:val="00C77DAB"/>
    <w:rsid w:val="00C82E36"/>
    <w:rsid w:val="00CA203F"/>
    <w:rsid w:val="00CA3313"/>
    <w:rsid w:val="00CA5FDE"/>
    <w:rsid w:val="00CA6579"/>
    <w:rsid w:val="00CB0BF7"/>
    <w:rsid w:val="00CC555B"/>
    <w:rsid w:val="00CC5AED"/>
    <w:rsid w:val="00CD13DC"/>
    <w:rsid w:val="00CE0D66"/>
    <w:rsid w:val="00CE49F7"/>
    <w:rsid w:val="00CF14EE"/>
    <w:rsid w:val="00CF15D5"/>
    <w:rsid w:val="00CF2002"/>
    <w:rsid w:val="00D02861"/>
    <w:rsid w:val="00D30918"/>
    <w:rsid w:val="00D358BD"/>
    <w:rsid w:val="00D4639B"/>
    <w:rsid w:val="00D62081"/>
    <w:rsid w:val="00D627B9"/>
    <w:rsid w:val="00D63A87"/>
    <w:rsid w:val="00D65306"/>
    <w:rsid w:val="00D66F0B"/>
    <w:rsid w:val="00D73A44"/>
    <w:rsid w:val="00D77E74"/>
    <w:rsid w:val="00D86AC9"/>
    <w:rsid w:val="00DA50BF"/>
    <w:rsid w:val="00DB7B2E"/>
    <w:rsid w:val="00DC023D"/>
    <w:rsid w:val="00DC102A"/>
    <w:rsid w:val="00DC158D"/>
    <w:rsid w:val="00DC7DAA"/>
    <w:rsid w:val="00E116E8"/>
    <w:rsid w:val="00E25A47"/>
    <w:rsid w:val="00E30CF3"/>
    <w:rsid w:val="00E312A2"/>
    <w:rsid w:val="00E4052A"/>
    <w:rsid w:val="00E42E6E"/>
    <w:rsid w:val="00E43E8E"/>
    <w:rsid w:val="00E44623"/>
    <w:rsid w:val="00E46127"/>
    <w:rsid w:val="00E52FC1"/>
    <w:rsid w:val="00E63476"/>
    <w:rsid w:val="00E647F7"/>
    <w:rsid w:val="00EB4E66"/>
    <w:rsid w:val="00EB6285"/>
    <w:rsid w:val="00EC418E"/>
    <w:rsid w:val="00ED38CC"/>
    <w:rsid w:val="00EF181A"/>
    <w:rsid w:val="00EF2856"/>
    <w:rsid w:val="00EF43B1"/>
    <w:rsid w:val="00EF77E4"/>
    <w:rsid w:val="00F042F5"/>
    <w:rsid w:val="00F04D67"/>
    <w:rsid w:val="00F2062D"/>
    <w:rsid w:val="00F23C18"/>
    <w:rsid w:val="00F261B1"/>
    <w:rsid w:val="00F30488"/>
    <w:rsid w:val="00F35B2E"/>
    <w:rsid w:val="00F3711D"/>
    <w:rsid w:val="00F372DD"/>
    <w:rsid w:val="00F45756"/>
    <w:rsid w:val="00F46880"/>
    <w:rsid w:val="00F573B5"/>
    <w:rsid w:val="00F60BFE"/>
    <w:rsid w:val="00F6154D"/>
    <w:rsid w:val="00F64554"/>
    <w:rsid w:val="00F752E0"/>
    <w:rsid w:val="00F90C8A"/>
    <w:rsid w:val="00F926D1"/>
    <w:rsid w:val="00F967A2"/>
    <w:rsid w:val="00F97495"/>
    <w:rsid w:val="00FC739B"/>
    <w:rsid w:val="00FE053C"/>
    <w:rsid w:val="00FF0AB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11A7"/>
    <w:pPr>
      <w:ind w:left="720"/>
    </w:pPr>
  </w:style>
  <w:style w:type="paragraph" w:styleId="FootnoteText">
    <w:name w:val="footnote text"/>
    <w:basedOn w:val="Normal"/>
    <w:link w:val="FootnoteTextChar"/>
    <w:rsid w:val="00A636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366D"/>
  </w:style>
  <w:style w:type="character" w:styleId="FootnoteReference">
    <w:name w:val="footnote reference"/>
    <w:rsid w:val="00A6366D"/>
    <w:rPr>
      <w:vertAlign w:val="superscript"/>
    </w:rPr>
  </w:style>
  <w:style w:type="character" w:customStyle="1" w:styleId="apple-converted-space">
    <w:name w:val="apple-converted-space"/>
    <w:basedOn w:val="DefaultParagraphFont"/>
    <w:rsid w:val="00CF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11A7"/>
    <w:pPr>
      <w:ind w:left="720"/>
    </w:pPr>
  </w:style>
  <w:style w:type="paragraph" w:styleId="FootnoteText">
    <w:name w:val="footnote text"/>
    <w:basedOn w:val="Normal"/>
    <w:link w:val="FootnoteTextChar"/>
    <w:rsid w:val="00A636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366D"/>
  </w:style>
  <w:style w:type="character" w:styleId="FootnoteReference">
    <w:name w:val="footnote reference"/>
    <w:rsid w:val="00A6366D"/>
    <w:rPr>
      <w:vertAlign w:val="superscript"/>
    </w:rPr>
  </w:style>
  <w:style w:type="character" w:customStyle="1" w:styleId="apple-converted-space">
    <w:name w:val="apple-converted-space"/>
    <w:basedOn w:val="DefaultParagraphFont"/>
    <w:rsid w:val="00CF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F6F6-FA95-42EF-926D-356D7FD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2014-06-26T00:50:00Z</dcterms:created>
  <dcterms:modified xsi:type="dcterms:W3CDTF">2015-01-27T23:17:00Z</dcterms:modified>
</cp:coreProperties>
</file>