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0"/>
        <w:gridCol w:w="5490"/>
      </w:tblGrid>
      <w:tr w:rsidR="002E3448" w:rsidTr="00592863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2E3448" w:rsidRPr="00592863" w:rsidRDefault="002E3448" w:rsidP="005928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592863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592863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592863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2E3448" w:rsidRPr="00592863" w:rsidRDefault="002E3448" w:rsidP="005928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592863" w:rsidRDefault="002E3448" w:rsidP="005928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2E3448" w:rsidRDefault="002E3448" w:rsidP="00592863">
            <w:pPr>
              <w:rPr>
                <w:sz w:val="18"/>
                <w:szCs w:val="18"/>
              </w:rPr>
            </w:pPr>
          </w:p>
        </w:tc>
      </w:tr>
      <w:tr w:rsidR="002E3448" w:rsidTr="00592863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592863" w:rsidRDefault="002E3448" w:rsidP="00592863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2863">
              <w:rPr>
                <w:rFonts w:ascii="Arial" w:hAnsi="Arial" w:cs="Arial"/>
                <w:sz w:val="20"/>
                <w:szCs w:val="20"/>
              </w:rPr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592863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5928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Individual appearing without attorney</w:t>
            </w:r>
          </w:p>
          <w:p w:rsidR="002E3448" w:rsidRPr="00592863" w:rsidRDefault="002E3448" w:rsidP="00592863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2863">
              <w:rPr>
                <w:rFonts w:ascii="Arial" w:hAnsi="Arial" w:cs="Arial"/>
                <w:sz w:val="20"/>
                <w:szCs w:val="20"/>
              </w:rPr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592863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5928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Attorney for:</w:t>
            </w:r>
            <w:r w:rsidR="00DD669C" w:rsidRPr="0059286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9286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592863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592863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59286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C66070" w:rsidP="00592863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bookmarkStart w:id="2" w:name="Text81"/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592863" w:rsidTr="00592863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92863" w:rsidRPr="00592863" w:rsidRDefault="00592863" w:rsidP="00592863">
            <w:pPr>
              <w:spacing w:before="100"/>
              <w:rPr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863" w:rsidRDefault="00592863" w:rsidP="00592863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92863" w:rsidRPr="00592863" w:rsidRDefault="00592863" w:rsidP="00592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92863" w:rsidRPr="00592863" w:rsidRDefault="00592863" w:rsidP="005928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 xml:space="preserve">CASE NO.: </w:t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592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2863">
              <w:rPr>
                <w:rFonts w:ascii="Arial" w:hAnsi="Arial" w:cs="Arial"/>
                <w:sz w:val="20"/>
                <w:szCs w:val="20"/>
              </w:rPr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28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8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8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8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8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592863" w:rsidRDefault="00592863" w:rsidP="0059286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>CHAPTER: 11</w:t>
            </w:r>
          </w:p>
        </w:tc>
      </w:tr>
      <w:tr w:rsidR="00592863" w:rsidTr="00592863">
        <w:tblPrEx>
          <w:tblCellMar>
            <w:top w:w="0" w:type="dxa"/>
            <w:bottom w:w="0" w:type="dxa"/>
          </w:tblCellMar>
        </w:tblPrEx>
        <w:trPr>
          <w:cantSplit/>
          <w:trHeight w:val="1154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592863" w:rsidRDefault="00592863" w:rsidP="00592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92863" w:rsidRPr="00117E1D" w:rsidRDefault="00592863" w:rsidP="00E65C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61B3">
              <w:rPr>
                <w:rFonts w:ascii="Arial" w:hAnsi="Arial" w:cs="Arial"/>
                <w:b/>
              </w:rPr>
              <w:t xml:space="preserve">ORDER </w:t>
            </w:r>
            <w:r w:rsidR="00452607">
              <w:rPr>
                <w:rFonts w:ascii="Arial" w:hAnsi="Arial" w:cs="Arial"/>
                <w:b/>
              </w:rPr>
              <w:t>RE MOTION TO</w:t>
            </w:r>
            <w:r w:rsidR="004A5BFE">
              <w:rPr>
                <w:rFonts w:ascii="Arial" w:hAnsi="Arial" w:cs="Arial"/>
                <w:b/>
              </w:rPr>
              <w:t>:</w:t>
            </w:r>
            <w:r w:rsidR="00452607">
              <w:rPr>
                <w:rFonts w:ascii="Arial" w:hAnsi="Arial" w:cs="Arial"/>
                <w:b/>
              </w:rPr>
              <w:t xml:space="preserve"> (1) </w:t>
            </w:r>
            <w:r w:rsidRPr="00CC61B3">
              <w:rPr>
                <w:rFonts w:ascii="Arial" w:hAnsi="Arial" w:cs="Arial"/>
                <w:b/>
              </w:rPr>
              <w:t>AUTHORIZ</w:t>
            </w:r>
            <w:r w:rsidR="00452607">
              <w:rPr>
                <w:rFonts w:ascii="Arial" w:hAnsi="Arial" w:cs="Arial"/>
                <w:b/>
              </w:rPr>
              <w:t>E</w:t>
            </w:r>
            <w:r w:rsidRPr="00CC61B3">
              <w:rPr>
                <w:rFonts w:ascii="Arial" w:hAnsi="Arial" w:cs="Arial"/>
                <w:b/>
              </w:rPr>
              <w:t xml:space="preserve"> PAYMENT OF PREPETITION PAYROLL</w:t>
            </w:r>
            <w:r w:rsidR="00452607">
              <w:rPr>
                <w:rFonts w:ascii="Arial" w:hAnsi="Arial" w:cs="Arial"/>
                <w:b/>
              </w:rPr>
              <w:t>;</w:t>
            </w:r>
            <w:r w:rsidRPr="00CC61B3">
              <w:rPr>
                <w:rFonts w:ascii="Arial" w:hAnsi="Arial" w:cs="Arial"/>
                <w:b/>
              </w:rPr>
              <w:t xml:space="preserve"> </w:t>
            </w:r>
            <w:r w:rsidR="00E65CBA">
              <w:rPr>
                <w:rFonts w:ascii="Arial" w:hAnsi="Arial" w:cs="Arial"/>
                <w:b/>
              </w:rPr>
              <w:br/>
            </w:r>
            <w:r w:rsidR="00452607">
              <w:rPr>
                <w:rFonts w:ascii="Arial" w:hAnsi="Arial" w:cs="Arial"/>
                <w:b/>
              </w:rPr>
              <w:t>(2)</w:t>
            </w:r>
            <w:r w:rsidRPr="00CC61B3">
              <w:rPr>
                <w:rFonts w:ascii="Arial" w:hAnsi="Arial" w:cs="Arial"/>
                <w:b/>
              </w:rPr>
              <w:t xml:space="preserve"> HONOR PREPETITION EMPLOYMENT PROCEDURES</w:t>
            </w:r>
            <w:r w:rsidR="007D7D19">
              <w:rPr>
                <w:rFonts w:ascii="Arial" w:hAnsi="Arial" w:cs="Arial"/>
                <w:b/>
              </w:rPr>
              <w:t>;</w:t>
            </w:r>
            <w:r w:rsidR="00452607">
              <w:rPr>
                <w:rFonts w:ascii="Arial" w:hAnsi="Arial" w:cs="Arial"/>
                <w:b/>
              </w:rPr>
              <w:t xml:space="preserve"> AND</w:t>
            </w:r>
            <w:r w:rsidR="00E65CBA">
              <w:rPr>
                <w:rFonts w:ascii="Arial" w:hAnsi="Arial" w:cs="Arial"/>
                <w:b/>
              </w:rPr>
              <w:t xml:space="preserve"> </w:t>
            </w:r>
            <w:r w:rsidR="00452607">
              <w:rPr>
                <w:rFonts w:ascii="Arial" w:hAnsi="Arial" w:cs="Arial"/>
                <w:b/>
              </w:rPr>
              <w:t>(3)</w:t>
            </w:r>
            <w:r w:rsidR="00CC5EA7">
              <w:rPr>
                <w:rFonts w:ascii="Arial" w:hAnsi="Arial" w:cs="Arial"/>
                <w:b/>
              </w:rPr>
              <w:t xml:space="preserve"> CONTINUE PAYING TAXES</w:t>
            </w:r>
            <w:r w:rsidRPr="00CC61B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[</w:t>
            </w:r>
            <w:r w:rsidRPr="00CC61B3">
              <w:rPr>
                <w:rFonts w:ascii="Arial" w:hAnsi="Arial" w:cs="Arial"/>
                <w:b/>
              </w:rPr>
              <w:t>LBR 2081-1(a)(6)</w:t>
            </w:r>
            <w:r>
              <w:rPr>
                <w:rFonts w:ascii="Arial" w:hAnsi="Arial" w:cs="Arial"/>
                <w:b/>
              </w:rPr>
              <w:t>]</w:t>
            </w:r>
          </w:p>
        </w:tc>
      </w:tr>
      <w:tr w:rsidR="00592863" w:rsidTr="00592863">
        <w:tblPrEx>
          <w:tblCellMar>
            <w:top w:w="0" w:type="dxa"/>
            <w:bottom w:w="0" w:type="dxa"/>
          </w:tblCellMar>
        </w:tblPrEx>
        <w:trPr>
          <w:cantSplit/>
          <w:trHeight w:val="1154"/>
          <w:jc w:val="center"/>
        </w:trPr>
        <w:tc>
          <w:tcPr>
            <w:tcW w:w="5320" w:type="dxa"/>
            <w:vMerge/>
            <w:tcBorders>
              <w:left w:val="single" w:sz="6" w:space="0" w:color="000000"/>
              <w:right w:val="nil"/>
            </w:tcBorders>
          </w:tcPr>
          <w:p w:rsidR="00592863" w:rsidRDefault="00592863" w:rsidP="005928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138" w:rsidRPr="00190138" w:rsidRDefault="00190138" w:rsidP="0059286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2863">
              <w:rPr>
                <w:rFonts w:ascii="Arial" w:hAnsi="Arial" w:cs="Arial"/>
                <w:sz w:val="20"/>
                <w:szCs w:val="20"/>
              </w:rPr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90138">
              <w:rPr>
                <w:rFonts w:ascii="Arial" w:hAnsi="Arial" w:cs="Arial"/>
                <w:b/>
                <w:sz w:val="20"/>
                <w:szCs w:val="20"/>
              </w:rPr>
              <w:t>No Hearing: LBR 9013-1(o)(3)</w:t>
            </w:r>
          </w:p>
          <w:p w:rsidR="00190138" w:rsidRPr="00190138" w:rsidRDefault="00190138" w:rsidP="0059286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8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92863">
              <w:rPr>
                <w:rFonts w:ascii="Arial" w:hAnsi="Arial" w:cs="Arial"/>
                <w:sz w:val="20"/>
                <w:szCs w:val="20"/>
              </w:rPr>
            </w:r>
            <w:r w:rsidRPr="0059286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90138">
              <w:rPr>
                <w:rFonts w:ascii="Arial" w:hAnsi="Arial" w:cs="Arial"/>
                <w:b/>
                <w:sz w:val="20"/>
                <w:szCs w:val="20"/>
              </w:rPr>
              <w:t>Hearing Information</w:t>
            </w:r>
          </w:p>
          <w:p w:rsidR="00592863" w:rsidRPr="00592863" w:rsidRDefault="00592863" w:rsidP="005928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592863" w:rsidRPr="00592863" w:rsidRDefault="00592863" w:rsidP="00592863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592863" w:rsidRPr="00592863" w:rsidRDefault="00592863" w:rsidP="0059286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2863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592863" w:rsidRPr="00592863" w:rsidRDefault="00452607" w:rsidP="0059286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592863" w:rsidRPr="005928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92863" w:rsidRPr="00592863" w:rsidRDefault="00592863" w:rsidP="00592863">
            <w:pPr>
              <w:tabs>
                <w:tab w:val="left" w:pos="5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863" w:rsidRPr="00592863" w:rsidRDefault="00592863" w:rsidP="00592863">
            <w:pPr>
              <w:tabs>
                <w:tab w:val="left" w:pos="5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863" w:rsidRPr="00CC61B3" w:rsidRDefault="00592863" w:rsidP="00592863">
            <w:pPr>
              <w:tabs>
                <w:tab w:val="left" w:pos="503"/>
              </w:tabs>
              <w:rPr>
                <w:rFonts w:ascii="Arial" w:hAnsi="Arial" w:cs="Arial"/>
                <w:b/>
              </w:rPr>
            </w:pPr>
          </w:p>
        </w:tc>
      </w:tr>
      <w:tr w:rsidR="00592863" w:rsidTr="00592863">
        <w:tblPrEx>
          <w:tblCellMar>
            <w:top w:w="0" w:type="dxa"/>
            <w:bottom w:w="0" w:type="dxa"/>
          </w:tblCellMar>
        </w:tblPrEx>
        <w:trPr>
          <w:cantSplit/>
          <w:trHeight w:val="57"/>
          <w:jc w:val="center"/>
        </w:trPr>
        <w:tc>
          <w:tcPr>
            <w:tcW w:w="5320" w:type="dxa"/>
            <w:tcBorders>
              <w:left w:val="single" w:sz="6" w:space="0" w:color="000000"/>
              <w:bottom w:val="single" w:sz="4" w:space="0" w:color="auto"/>
              <w:right w:val="nil"/>
            </w:tcBorders>
            <w:vAlign w:val="bottom"/>
          </w:tcPr>
          <w:p w:rsidR="00592863" w:rsidRDefault="00592863" w:rsidP="00592863">
            <w:pPr>
              <w:spacing w:after="60"/>
              <w:jc w:val="right"/>
            </w:pPr>
            <w:r w:rsidRPr="00592863">
              <w:rPr>
                <w:rFonts w:ascii="Arial" w:hAnsi="Arial" w:cs="Arial"/>
                <w:sz w:val="20"/>
                <w:szCs w:val="20"/>
              </w:rPr>
              <w:t>Debtor(s)</w:t>
            </w:r>
          </w:p>
        </w:tc>
        <w:tc>
          <w:tcPr>
            <w:tcW w:w="54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863" w:rsidRPr="004450B5" w:rsidRDefault="00592863" w:rsidP="00592863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5318" w:rsidRDefault="00305318" w:rsidP="00393512">
      <w:pPr>
        <w:jc w:val="both"/>
        <w:rPr>
          <w:rFonts w:ascii="Arial" w:hAnsi="Arial" w:cs="Arial"/>
          <w:sz w:val="20"/>
          <w:szCs w:val="20"/>
        </w:rPr>
      </w:pPr>
    </w:p>
    <w:p w:rsidR="001848A1" w:rsidRDefault="001848A1" w:rsidP="00393512">
      <w:pPr>
        <w:jc w:val="both"/>
        <w:rPr>
          <w:rFonts w:ascii="Arial" w:hAnsi="Arial" w:cs="Arial"/>
          <w:sz w:val="20"/>
          <w:szCs w:val="20"/>
        </w:rPr>
      </w:pPr>
    </w:p>
    <w:p w:rsidR="00ED04CE" w:rsidRDefault="00D17FCA" w:rsidP="001848A1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940"/>
          <w:tab w:val="left" w:pos="6300"/>
        </w:tabs>
        <w:spacing w:line="480" w:lineRule="auto"/>
        <w:ind w:left="360" w:hanging="356"/>
        <w:jc w:val="both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>The Motion was:</w:t>
      </w:r>
      <w:r w:rsidRPr="00A15F29">
        <w:rPr>
          <w:rFonts w:ascii="Arial" w:hAnsi="Arial" w:cs="Arial"/>
          <w:sz w:val="20"/>
          <w:szCs w:val="20"/>
        </w:rPr>
        <w:tab/>
      </w:r>
      <w:bookmarkStart w:id="4" w:name="Check15"/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bookmarkEnd w:id="4"/>
      <w:r w:rsidR="00D8442D">
        <w:rPr>
          <w:rFonts w:ascii="Arial" w:hAnsi="Arial" w:cs="Arial"/>
          <w:sz w:val="20"/>
          <w:szCs w:val="20"/>
        </w:rPr>
        <w:tab/>
      </w:r>
      <w:r w:rsidR="00E23B92">
        <w:rPr>
          <w:rFonts w:ascii="Arial" w:hAnsi="Arial" w:cs="Arial"/>
          <w:sz w:val="20"/>
          <w:szCs w:val="20"/>
        </w:rPr>
        <w:t>Oppos</w:t>
      </w:r>
      <w:r w:rsidR="0039524B">
        <w:rPr>
          <w:rFonts w:ascii="Arial" w:hAnsi="Arial" w:cs="Arial"/>
          <w:sz w:val="20"/>
          <w:szCs w:val="20"/>
        </w:rPr>
        <w:t>ed</w:t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t>Un</w:t>
      </w:r>
      <w:r w:rsidR="00E23B92">
        <w:rPr>
          <w:rFonts w:ascii="Arial" w:hAnsi="Arial" w:cs="Arial"/>
          <w:sz w:val="20"/>
          <w:szCs w:val="20"/>
        </w:rPr>
        <w:t>opposed</w:t>
      </w:r>
      <w:r w:rsidRPr="00A15F29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Pr="00A15F29">
        <w:rPr>
          <w:rFonts w:ascii="Arial" w:hAnsi="Arial" w:cs="Arial"/>
          <w:sz w:val="20"/>
          <w:szCs w:val="20"/>
        </w:rPr>
        <w:t>Settled by stipulation</w:t>
      </w:r>
    </w:p>
    <w:p w:rsidR="004450B5" w:rsidRDefault="004450B5" w:rsidP="001848A1">
      <w:pPr>
        <w:numPr>
          <w:ilvl w:val="0"/>
          <w:numId w:val="16"/>
        </w:numPr>
        <w:tabs>
          <w:tab w:val="left" w:pos="360"/>
        </w:tabs>
        <w:spacing w:line="480" w:lineRule="auto"/>
        <w:ind w:left="360" w:hanging="3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Appearances are </w:t>
      </w:r>
      <w:r w:rsidR="00AC732D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>ted in the court record.</w:t>
      </w:r>
    </w:p>
    <w:p w:rsidR="001848A1" w:rsidRPr="001848A1" w:rsidRDefault="004450B5" w:rsidP="00E65CBA">
      <w:pPr>
        <w:numPr>
          <w:ilvl w:val="0"/>
          <w:numId w:val="16"/>
        </w:numPr>
        <w:tabs>
          <w:tab w:val="left" w:pos="360"/>
        </w:tabs>
        <w:ind w:left="360" w:hanging="356"/>
        <w:jc w:val="both"/>
        <w:rPr>
          <w:rFonts w:ascii="Arial" w:hAnsi="Arial" w:cs="Arial"/>
          <w:bCs/>
          <w:sz w:val="20"/>
          <w:szCs w:val="20"/>
        </w:rPr>
      </w:pPr>
      <w:r w:rsidRPr="00CC5EA7">
        <w:rPr>
          <w:rFonts w:ascii="Arial" w:hAnsi="Arial" w:cs="Arial"/>
          <w:sz w:val="20"/>
          <w:szCs w:val="20"/>
        </w:rPr>
        <w:t>Based on the findings and conclusions made at the hearing, IT IS ORDERED THAT</w:t>
      </w:r>
    </w:p>
    <w:p w:rsidR="00452607" w:rsidRDefault="00452607" w:rsidP="008D702C">
      <w:pPr>
        <w:spacing w:before="120" w:after="120"/>
        <w:ind w:left="720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="001848A1">
        <w:rPr>
          <w:rFonts w:ascii="Arial" w:hAnsi="Arial" w:cs="Arial"/>
          <w:sz w:val="20"/>
          <w:szCs w:val="20"/>
        </w:rPr>
        <w:tab/>
      </w:r>
      <w:r w:rsidR="00CC5EA7">
        <w:rPr>
          <w:rFonts w:ascii="Arial" w:hAnsi="Arial" w:cs="Arial"/>
          <w:sz w:val="20"/>
          <w:szCs w:val="20"/>
        </w:rPr>
        <w:t>t</w:t>
      </w:r>
      <w:r w:rsidR="002E5B02" w:rsidRPr="00CC5EA7">
        <w:rPr>
          <w:rFonts w:ascii="Arial" w:hAnsi="Arial" w:cs="Arial"/>
          <w:sz w:val="20"/>
          <w:szCs w:val="20"/>
        </w:rPr>
        <w:t>he Motion is granted pursuant to 11 U.S.C. §§ 105</w:t>
      </w:r>
      <w:r w:rsidR="008D702C">
        <w:rPr>
          <w:rFonts w:ascii="Arial" w:hAnsi="Arial" w:cs="Arial"/>
          <w:sz w:val="20"/>
          <w:szCs w:val="20"/>
        </w:rPr>
        <w:t>;</w:t>
      </w:r>
      <w:r w:rsidR="00CC5EA7" w:rsidRPr="00CC5EA7">
        <w:rPr>
          <w:rFonts w:ascii="Arial" w:hAnsi="Arial" w:cs="Arial"/>
          <w:sz w:val="20"/>
          <w:szCs w:val="20"/>
        </w:rPr>
        <w:t xml:space="preserve"> 363(b)</w:t>
      </w:r>
      <w:r w:rsidR="008D702C">
        <w:rPr>
          <w:rFonts w:ascii="Arial" w:hAnsi="Arial" w:cs="Arial"/>
          <w:sz w:val="20"/>
          <w:szCs w:val="20"/>
        </w:rPr>
        <w:t>;</w:t>
      </w:r>
      <w:r w:rsidR="002E5B02" w:rsidRPr="00CC5EA7">
        <w:rPr>
          <w:rFonts w:ascii="Arial" w:hAnsi="Arial" w:cs="Arial"/>
          <w:sz w:val="20"/>
          <w:szCs w:val="20"/>
        </w:rPr>
        <w:t xml:space="preserve"> 507(a)(4)</w:t>
      </w:r>
      <w:r w:rsidR="009654A0">
        <w:rPr>
          <w:rFonts w:ascii="Arial" w:hAnsi="Arial" w:cs="Arial"/>
          <w:sz w:val="20"/>
          <w:szCs w:val="20"/>
        </w:rPr>
        <w:t>, (a)(5)</w:t>
      </w:r>
      <w:r w:rsidR="00CC5EA7" w:rsidRPr="00CC5EA7">
        <w:rPr>
          <w:rFonts w:ascii="Arial" w:hAnsi="Arial" w:cs="Arial"/>
          <w:sz w:val="20"/>
          <w:szCs w:val="20"/>
        </w:rPr>
        <w:t xml:space="preserve"> and (a)(8)</w:t>
      </w:r>
      <w:r w:rsidR="008D702C">
        <w:rPr>
          <w:rFonts w:ascii="Arial" w:hAnsi="Arial" w:cs="Arial"/>
          <w:sz w:val="20"/>
          <w:szCs w:val="20"/>
        </w:rPr>
        <w:t>;</w:t>
      </w:r>
      <w:r w:rsidR="00CC5EA7" w:rsidRPr="00CC5EA7">
        <w:rPr>
          <w:rFonts w:ascii="Arial" w:hAnsi="Arial" w:cs="Arial"/>
          <w:sz w:val="20"/>
          <w:szCs w:val="20"/>
        </w:rPr>
        <w:t xml:space="preserve"> </w:t>
      </w:r>
      <w:r w:rsidR="00455ED0">
        <w:rPr>
          <w:rFonts w:ascii="Arial" w:hAnsi="Arial" w:cs="Arial"/>
          <w:sz w:val="20"/>
          <w:szCs w:val="20"/>
        </w:rPr>
        <w:t>541(b)(7)</w:t>
      </w:r>
      <w:r w:rsidR="008D702C">
        <w:rPr>
          <w:rFonts w:ascii="Arial" w:hAnsi="Arial" w:cs="Arial"/>
          <w:sz w:val="20"/>
          <w:szCs w:val="20"/>
        </w:rPr>
        <w:t>;</w:t>
      </w:r>
      <w:r w:rsidR="00455ED0">
        <w:rPr>
          <w:rFonts w:ascii="Arial" w:hAnsi="Arial" w:cs="Arial"/>
          <w:sz w:val="20"/>
          <w:szCs w:val="20"/>
        </w:rPr>
        <w:t xml:space="preserve"> </w:t>
      </w:r>
      <w:r w:rsidR="00CC5EA7" w:rsidRPr="00CC5EA7">
        <w:rPr>
          <w:rFonts w:ascii="Arial" w:hAnsi="Arial" w:cs="Arial"/>
          <w:sz w:val="20"/>
          <w:szCs w:val="20"/>
        </w:rPr>
        <w:t>1122(b) and 1129(a)(9)(c)</w:t>
      </w:r>
      <w:r w:rsidR="008D702C">
        <w:rPr>
          <w:rFonts w:ascii="Arial" w:hAnsi="Arial" w:cs="Arial"/>
          <w:sz w:val="20"/>
          <w:szCs w:val="20"/>
        </w:rPr>
        <w:t>;</w:t>
      </w:r>
      <w:r w:rsidR="002E5B02" w:rsidRPr="00CC5EA7">
        <w:rPr>
          <w:rFonts w:ascii="Arial" w:hAnsi="Arial" w:cs="Arial"/>
          <w:sz w:val="20"/>
          <w:szCs w:val="20"/>
        </w:rPr>
        <w:t xml:space="preserve"> and </w:t>
      </w:r>
      <w:r w:rsidR="00294206" w:rsidRPr="00CC5EA7">
        <w:rPr>
          <w:rFonts w:ascii="Arial" w:hAnsi="Arial" w:cs="Arial"/>
          <w:sz w:val="20"/>
          <w:szCs w:val="20"/>
        </w:rPr>
        <w:t>LBR</w:t>
      </w:r>
      <w:r w:rsidR="002E5B02" w:rsidRPr="00CC5EA7">
        <w:rPr>
          <w:rFonts w:ascii="Arial" w:hAnsi="Arial" w:cs="Arial"/>
          <w:sz w:val="20"/>
          <w:szCs w:val="20"/>
        </w:rPr>
        <w:t xml:space="preserve"> </w:t>
      </w:r>
      <w:r w:rsidR="002E5B02" w:rsidRPr="00CC5EA7">
        <w:rPr>
          <w:rFonts w:ascii="Arial" w:hAnsi="Arial" w:cs="Arial"/>
          <w:bCs/>
          <w:sz w:val="20"/>
          <w:szCs w:val="20"/>
        </w:rPr>
        <w:t>2081-1(a)(6)</w:t>
      </w:r>
      <w:r w:rsidR="00CC5EA7">
        <w:rPr>
          <w:rFonts w:ascii="Arial" w:hAnsi="Arial" w:cs="Arial"/>
          <w:bCs/>
          <w:sz w:val="20"/>
          <w:szCs w:val="20"/>
        </w:rPr>
        <w:t>.</w:t>
      </w:r>
    </w:p>
    <w:p w:rsidR="00452607" w:rsidRDefault="00452607" w:rsidP="001848A1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 w:rsidR="001848A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the Motion is denied.</w:t>
      </w:r>
    </w:p>
    <w:p w:rsidR="002B56FA" w:rsidRDefault="002B56FA" w:rsidP="00452607">
      <w:pPr>
        <w:ind w:left="446"/>
        <w:jc w:val="both"/>
        <w:rPr>
          <w:rFonts w:ascii="Arial" w:hAnsi="Arial" w:cs="Arial"/>
          <w:bCs/>
          <w:sz w:val="20"/>
          <w:szCs w:val="20"/>
        </w:rPr>
      </w:pPr>
    </w:p>
    <w:p w:rsidR="0061273A" w:rsidRDefault="001848A1" w:rsidP="001848A1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B56FA" w:rsidRPr="002B56FA">
        <w:rPr>
          <w:rFonts w:ascii="Arial" w:hAnsi="Arial" w:cs="Arial"/>
          <w:sz w:val="20"/>
          <w:szCs w:val="20"/>
        </w:rPr>
        <w:lastRenderedPageBreak/>
        <w:t>4.</w:t>
      </w:r>
      <w:r w:rsidR="002B56FA">
        <w:rPr>
          <w:rFonts w:ascii="Arial" w:hAnsi="Arial" w:cs="Arial"/>
          <w:sz w:val="20"/>
          <w:szCs w:val="20"/>
        </w:rPr>
        <w:tab/>
      </w:r>
      <w:r w:rsidR="002E5B02" w:rsidRPr="002E5B02">
        <w:rPr>
          <w:rFonts w:ascii="Arial" w:hAnsi="Arial" w:cs="Arial"/>
          <w:sz w:val="20"/>
          <w:szCs w:val="20"/>
        </w:rPr>
        <w:t>IT IS FURTHER ORDERED THAT</w:t>
      </w:r>
    </w:p>
    <w:p w:rsidR="002E5B02" w:rsidRDefault="00C80F4E" w:rsidP="00AF5085">
      <w:pPr>
        <w:tabs>
          <w:tab w:val="left" w:pos="720"/>
          <w:tab w:val="left" w:pos="1080"/>
        </w:tabs>
        <w:spacing w:before="120" w:after="12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 w:rsidR="0061273A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61273A">
        <w:rPr>
          <w:rFonts w:ascii="Arial" w:hAnsi="Arial" w:cs="Arial"/>
          <w:sz w:val="20"/>
          <w:szCs w:val="20"/>
        </w:rPr>
        <w:instrText xml:space="preserve"> FORMCHECKBOX </w:instrText>
      </w:r>
      <w:r w:rsidR="0061273A">
        <w:rPr>
          <w:rFonts w:ascii="Arial" w:hAnsi="Arial" w:cs="Arial"/>
          <w:sz w:val="20"/>
          <w:szCs w:val="20"/>
        </w:rPr>
      </w:r>
      <w:r w:rsidR="0061273A">
        <w:rPr>
          <w:rFonts w:ascii="Arial" w:hAnsi="Arial" w:cs="Arial"/>
          <w:sz w:val="20"/>
          <w:szCs w:val="20"/>
        </w:rPr>
        <w:fldChar w:fldCharType="end"/>
      </w:r>
      <w:bookmarkEnd w:id="7"/>
      <w:r w:rsidR="00AA70A1">
        <w:rPr>
          <w:rFonts w:ascii="Arial" w:hAnsi="Arial" w:cs="Arial"/>
          <w:sz w:val="20"/>
          <w:szCs w:val="20"/>
        </w:rPr>
        <w:tab/>
      </w:r>
      <w:r w:rsidR="00E3665B">
        <w:rPr>
          <w:rFonts w:ascii="Arial" w:hAnsi="Arial" w:cs="Arial"/>
          <w:sz w:val="20"/>
          <w:szCs w:val="20"/>
        </w:rPr>
        <w:t>the Debtor may pay the prepetition amounts listed on the</w:t>
      </w:r>
      <w:r>
        <w:rPr>
          <w:rFonts w:ascii="Arial" w:hAnsi="Arial" w:cs="Arial"/>
          <w:sz w:val="20"/>
          <w:szCs w:val="20"/>
        </w:rPr>
        <w:t xml:space="preserve"> Employee List</w:t>
      </w:r>
      <w:r w:rsidR="001A42CB">
        <w:rPr>
          <w:rFonts w:ascii="Arial" w:hAnsi="Arial" w:cs="Arial"/>
          <w:sz w:val="20"/>
          <w:szCs w:val="20"/>
        </w:rPr>
        <w:t>.</w:t>
      </w:r>
    </w:p>
    <w:p w:rsidR="00CC5EA7" w:rsidRDefault="0061273A" w:rsidP="00AF5085">
      <w:pPr>
        <w:tabs>
          <w:tab w:val="left" w:pos="720"/>
          <w:tab w:val="left" w:pos="1260"/>
        </w:tabs>
        <w:spacing w:before="120" w:after="12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</w:r>
      <w:r w:rsidR="00C80F4E"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C80F4E">
        <w:rPr>
          <w:rFonts w:ascii="Arial" w:hAnsi="Arial" w:cs="Arial"/>
          <w:sz w:val="20"/>
          <w:szCs w:val="20"/>
        </w:rPr>
        <w:instrText xml:space="preserve"> FORMCHECKBOX </w:instrText>
      </w:r>
      <w:r w:rsidR="00C80F4E">
        <w:rPr>
          <w:rFonts w:ascii="Arial" w:hAnsi="Arial" w:cs="Arial"/>
          <w:sz w:val="20"/>
          <w:szCs w:val="20"/>
        </w:rPr>
      </w:r>
      <w:r w:rsidR="00C80F4E">
        <w:rPr>
          <w:rFonts w:ascii="Arial" w:hAnsi="Arial" w:cs="Arial"/>
          <w:sz w:val="20"/>
          <w:szCs w:val="20"/>
        </w:rPr>
        <w:fldChar w:fldCharType="end"/>
      </w:r>
      <w:bookmarkEnd w:id="8"/>
      <w:r w:rsidR="00C80F4E">
        <w:rPr>
          <w:rFonts w:ascii="Arial" w:hAnsi="Arial" w:cs="Arial"/>
          <w:sz w:val="20"/>
          <w:szCs w:val="20"/>
        </w:rPr>
        <w:tab/>
      </w:r>
      <w:r w:rsidR="00CC5EA7">
        <w:rPr>
          <w:rFonts w:ascii="Arial" w:hAnsi="Arial" w:cs="Arial"/>
          <w:sz w:val="20"/>
          <w:szCs w:val="20"/>
        </w:rPr>
        <w:t xml:space="preserve">the Debtor may continue the </w:t>
      </w:r>
      <w:r w:rsidR="00CC5EA7" w:rsidRPr="00E13137">
        <w:rPr>
          <w:rFonts w:ascii="Arial" w:hAnsi="Arial" w:cs="Arial"/>
          <w:sz w:val="20"/>
          <w:szCs w:val="20"/>
        </w:rPr>
        <w:t>prepetition payroll procedures</w:t>
      </w:r>
      <w:r w:rsidR="00CC5EA7">
        <w:rPr>
          <w:rFonts w:ascii="Arial" w:hAnsi="Arial" w:cs="Arial"/>
          <w:sz w:val="20"/>
          <w:szCs w:val="20"/>
        </w:rPr>
        <w:t xml:space="preserve"> described in the Motion</w:t>
      </w:r>
      <w:r>
        <w:rPr>
          <w:rFonts w:ascii="Arial" w:hAnsi="Arial" w:cs="Arial"/>
          <w:sz w:val="20"/>
          <w:szCs w:val="20"/>
        </w:rPr>
        <w:t xml:space="preserve"> and</w:t>
      </w:r>
      <w:r w:rsidR="00CC5EA7">
        <w:rPr>
          <w:rFonts w:ascii="Arial" w:hAnsi="Arial" w:cs="Arial"/>
          <w:sz w:val="20"/>
          <w:szCs w:val="20"/>
        </w:rPr>
        <w:t xml:space="preserve"> the Debtor may pay</w:t>
      </w:r>
      <w:r w:rsidR="00CC5EA7" w:rsidRPr="00BA3456">
        <w:rPr>
          <w:rFonts w:ascii="Arial" w:hAnsi="Arial" w:cs="Arial"/>
          <w:sz w:val="20"/>
          <w:szCs w:val="20"/>
        </w:rPr>
        <w:t xml:space="preserve"> benefits </w:t>
      </w:r>
      <w:r w:rsidR="009654A0">
        <w:rPr>
          <w:rFonts w:ascii="Arial" w:hAnsi="Arial" w:cs="Arial"/>
          <w:sz w:val="20"/>
          <w:szCs w:val="20"/>
        </w:rPr>
        <w:t xml:space="preserve">listed in the Employee List attached to the </w:t>
      </w:r>
      <w:r w:rsidR="009E720B">
        <w:rPr>
          <w:rFonts w:ascii="Arial" w:hAnsi="Arial" w:cs="Arial"/>
          <w:sz w:val="20"/>
          <w:szCs w:val="20"/>
        </w:rPr>
        <w:t>M</w:t>
      </w:r>
      <w:r w:rsidR="009654A0">
        <w:rPr>
          <w:rFonts w:ascii="Arial" w:hAnsi="Arial" w:cs="Arial"/>
          <w:sz w:val="20"/>
          <w:szCs w:val="20"/>
        </w:rPr>
        <w:t xml:space="preserve">otion </w:t>
      </w:r>
      <w:r w:rsidR="00CC5EA7" w:rsidRPr="00BA3456">
        <w:rPr>
          <w:rFonts w:ascii="Arial" w:hAnsi="Arial" w:cs="Arial"/>
          <w:sz w:val="20"/>
          <w:szCs w:val="20"/>
        </w:rPr>
        <w:t xml:space="preserve">that accrued prepetition </w:t>
      </w:r>
      <w:r w:rsidR="00CC5EA7">
        <w:rPr>
          <w:rFonts w:ascii="Arial" w:hAnsi="Arial" w:cs="Arial"/>
          <w:sz w:val="20"/>
          <w:szCs w:val="20"/>
        </w:rPr>
        <w:t>but that</w:t>
      </w:r>
      <w:r w:rsidR="00CC5EA7" w:rsidRPr="00BA3456">
        <w:rPr>
          <w:rFonts w:ascii="Arial" w:hAnsi="Arial" w:cs="Arial"/>
          <w:sz w:val="20"/>
          <w:szCs w:val="20"/>
        </w:rPr>
        <w:t xml:space="preserve"> mature postpetition</w:t>
      </w:r>
      <w:r w:rsidR="00CC5EA7">
        <w:rPr>
          <w:rFonts w:ascii="Arial" w:hAnsi="Arial" w:cs="Arial"/>
          <w:sz w:val="20"/>
          <w:szCs w:val="20"/>
        </w:rPr>
        <w:t xml:space="preserve"> in the ordinary course of business.</w:t>
      </w:r>
    </w:p>
    <w:p w:rsidR="002E5B02" w:rsidRDefault="00AA70A1" w:rsidP="00AF5085">
      <w:pPr>
        <w:tabs>
          <w:tab w:val="left" w:pos="720"/>
        </w:tabs>
        <w:spacing w:before="120" w:after="120"/>
        <w:ind w:left="108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</w:r>
      <w:r w:rsidR="00C80F4E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="00C80F4E">
        <w:rPr>
          <w:rFonts w:ascii="Arial" w:hAnsi="Arial" w:cs="Arial"/>
          <w:sz w:val="20"/>
          <w:szCs w:val="20"/>
        </w:rPr>
        <w:instrText xml:space="preserve"> FORMCHECKBOX </w:instrText>
      </w:r>
      <w:r w:rsidR="00C80F4E">
        <w:rPr>
          <w:rFonts w:ascii="Arial" w:hAnsi="Arial" w:cs="Arial"/>
          <w:sz w:val="20"/>
          <w:szCs w:val="20"/>
        </w:rPr>
      </w:r>
      <w:r w:rsidR="00C80F4E">
        <w:rPr>
          <w:rFonts w:ascii="Arial" w:hAnsi="Arial" w:cs="Arial"/>
          <w:sz w:val="20"/>
          <w:szCs w:val="20"/>
        </w:rPr>
        <w:fldChar w:fldCharType="end"/>
      </w:r>
      <w:bookmarkEnd w:id="9"/>
      <w:r w:rsidR="00C80F4E">
        <w:rPr>
          <w:rFonts w:ascii="Arial" w:hAnsi="Arial" w:cs="Arial"/>
          <w:sz w:val="20"/>
          <w:szCs w:val="20"/>
        </w:rPr>
        <w:tab/>
      </w:r>
      <w:r w:rsidR="00CC5EA7">
        <w:rPr>
          <w:rFonts w:ascii="Arial" w:hAnsi="Arial" w:cs="Arial"/>
          <w:sz w:val="20"/>
          <w:szCs w:val="20"/>
        </w:rPr>
        <w:t xml:space="preserve">taxes listed on the </w:t>
      </w:r>
      <w:r>
        <w:rPr>
          <w:rFonts w:ascii="Arial" w:hAnsi="Arial" w:cs="Arial"/>
          <w:sz w:val="20"/>
          <w:szCs w:val="20"/>
        </w:rPr>
        <w:t>Tax List</w:t>
      </w:r>
      <w:r w:rsidR="00CC5EA7">
        <w:rPr>
          <w:rFonts w:ascii="Arial" w:hAnsi="Arial" w:cs="Arial"/>
          <w:sz w:val="20"/>
          <w:szCs w:val="20"/>
        </w:rPr>
        <w:t xml:space="preserve"> </w:t>
      </w:r>
      <w:r w:rsidR="009654A0">
        <w:rPr>
          <w:rFonts w:ascii="Arial" w:hAnsi="Arial" w:cs="Arial"/>
          <w:sz w:val="20"/>
          <w:szCs w:val="20"/>
        </w:rPr>
        <w:t xml:space="preserve">attached to the Motion </w:t>
      </w:r>
      <w:r w:rsidR="00CC5EA7">
        <w:rPr>
          <w:rFonts w:ascii="Arial" w:hAnsi="Arial" w:cs="Arial"/>
          <w:sz w:val="20"/>
          <w:szCs w:val="20"/>
        </w:rPr>
        <w:t>may be paid in the amounts shown</w:t>
      </w:r>
      <w:r>
        <w:rPr>
          <w:rFonts w:ascii="Arial" w:hAnsi="Arial" w:cs="Arial"/>
          <w:sz w:val="20"/>
          <w:szCs w:val="20"/>
        </w:rPr>
        <w:t>.</w:t>
      </w:r>
    </w:p>
    <w:p w:rsidR="00592863" w:rsidRPr="002E5B02" w:rsidRDefault="00592863" w:rsidP="001848A1">
      <w:pPr>
        <w:ind w:hanging="892"/>
        <w:jc w:val="both"/>
        <w:rPr>
          <w:rFonts w:ascii="Arial" w:hAnsi="Arial" w:cs="Arial"/>
          <w:bCs/>
          <w:sz w:val="20"/>
          <w:szCs w:val="20"/>
        </w:rPr>
      </w:pPr>
    </w:p>
    <w:p w:rsidR="002E5B02" w:rsidRPr="002E5B02" w:rsidRDefault="002E5B02" w:rsidP="001848A1">
      <w:pPr>
        <w:numPr>
          <w:ilvl w:val="0"/>
          <w:numId w:val="18"/>
        </w:numPr>
        <w:tabs>
          <w:tab w:val="left" w:pos="360"/>
          <w:tab w:val="left" w:pos="900"/>
        </w:tabs>
        <w:spacing w:line="480" w:lineRule="auto"/>
        <w:ind w:left="446" w:hanging="446"/>
        <w:jc w:val="both"/>
        <w:rPr>
          <w:rFonts w:ascii="Arial" w:hAnsi="Arial" w:cs="Arial"/>
          <w:bCs/>
          <w:sz w:val="20"/>
          <w:szCs w:val="20"/>
        </w:rPr>
      </w:pPr>
      <w:r w:rsidRPr="002E5B02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E5B02">
        <w:rPr>
          <w:rFonts w:ascii="Arial" w:hAnsi="Arial" w:cs="Arial"/>
          <w:sz w:val="20"/>
          <w:szCs w:val="20"/>
        </w:rPr>
        <w:instrText xml:space="preserve"> FORMCHECKBOX </w:instrText>
      </w:r>
      <w:r w:rsidRPr="002E5B02">
        <w:rPr>
          <w:rFonts w:ascii="Arial" w:hAnsi="Arial" w:cs="Arial"/>
          <w:sz w:val="20"/>
          <w:szCs w:val="20"/>
        </w:rPr>
      </w:r>
      <w:r w:rsidRPr="002E5B0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2E5B02">
        <w:rPr>
          <w:rFonts w:ascii="Arial" w:hAnsi="Arial" w:cs="Arial"/>
          <w:sz w:val="20"/>
          <w:szCs w:val="20"/>
        </w:rPr>
        <w:t>See attached for any other provisions.</w:t>
      </w:r>
    </w:p>
    <w:p w:rsidR="00D17FCA" w:rsidRDefault="00D17FCA" w:rsidP="00EB6A3F">
      <w:pPr>
        <w:rPr>
          <w:rFonts w:ascii="Arial" w:hAnsi="Arial" w:cs="Arial"/>
          <w:sz w:val="20"/>
          <w:szCs w:val="20"/>
        </w:rPr>
      </w:pPr>
    </w:p>
    <w:p w:rsidR="00EB6A3F" w:rsidRDefault="00EB6A3F" w:rsidP="00EB6A3F">
      <w:pPr>
        <w:rPr>
          <w:rFonts w:ascii="Arial" w:hAnsi="Arial" w:cs="Arial"/>
          <w:sz w:val="20"/>
          <w:szCs w:val="20"/>
        </w:rPr>
      </w:pPr>
    </w:p>
    <w:p w:rsidR="002E5B02" w:rsidRDefault="008B7AD7" w:rsidP="008B7A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sectPr w:rsidR="002E5B02" w:rsidSect="00592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720" w:bottom="432" w:left="720" w:header="720" w:footer="5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3BA" w:rsidRDefault="000513BA">
      <w:r>
        <w:separator/>
      </w:r>
    </w:p>
  </w:endnote>
  <w:endnote w:type="continuationSeparator" w:id="0">
    <w:p w:rsidR="000513BA" w:rsidRDefault="0005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66" w:rsidRDefault="00A72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BA7" w:rsidRPr="00E94407" w:rsidRDefault="001C1CD5" w:rsidP="005F2509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E94407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9D96A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p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Fwns/yNAXV6OBLSDEkGuv8J647FIwSSyAdgclp63wgQoohJNyj9EZI&#10;GdWWCvUlnuS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CcSK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6F6BA7" w:rsidRPr="00E94407">
      <w:rPr>
        <w:rFonts w:ascii="Arial" w:hAnsi="Arial" w:cs="Arial"/>
        <w:sz w:val="16"/>
        <w:szCs w:val="16"/>
      </w:rPr>
      <w:t xml:space="preserve">This form </w:t>
    </w:r>
    <w:r w:rsidR="006F6BA7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6F6BA7">
      <w:rPr>
        <w:rFonts w:ascii="Arial" w:hAnsi="Arial" w:cs="Arial"/>
        <w:color w:val="000000"/>
        <w:sz w:val="16"/>
        <w:szCs w:val="16"/>
      </w:rPr>
      <w:t>optional</w:t>
    </w:r>
    <w:r w:rsidR="006F6BA7" w:rsidRPr="00E94407">
      <w:rPr>
        <w:rFonts w:ascii="Arial" w:hAnsi="Arial" w:cs="Arial"/>
        <w:sz w:val="16"/>
        <w:szCs w:val="16"/>
      </w:rPr>
      <w:t xml:space="preserve">.  It has been approved for use </w:t>
    </w:r>
    <w:r w:rsidR="006F6BA7">
      <w:rPr>
        <w:rFonts w:ascii="Arial" w:hAnsi="Arial" w:cs="Arial"/>
        <w:sz w:val="16"/>
        <w:szCs w:val="16"/>
      </w:rPr>
      <w:t>in</w:t>
    </w:r>
    <w:r w:rsidR="006F6BA7" w:rsidRPr="00E94407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6F6BA7" w:rsidRDefault="006F6BA7" w:rsidP="00E23B92">
    <w:pPr>
      <w:pStyle w:val="Footer"/>
      <w:tabs>
        <w:tab w:val="clear" w:pos="4320"/>
        <w:tab w:val="clear" w:pos="8640"/>
        <w:tab w:val="center" w:pos="5310"/>
        <w:tab w:val="left" w:pos="8280"/>
        <w:tab w:val="right" w:pos="10800"/>
      </w:tabs>
      <w:rPr>
        <w:rFonts w:ascii="Arial" w:hAnsi="Arial" w:cs="Arial"/>
        <w:i/>
        <w:sz w:val="16"/>
        <w:szCs w:val="16"/>
      </w:rPr>
    </w:pPr>
  </w:p>
  <w:p w:rsidR="006F6BA7" w:rsidRDefault="004A5BFE" w:rsidP="002A78DD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Arial" w:hAnsi="Arial" w:cs="Arial"/>
        <w:b/>
        <w:szCs w:val="32"/>
      </w:rPr>
    </w:pPr>
    <w:r>
      <w:rPr>
        <w:rFonts w:ascii="Arial" w:hAnsi="Arial" w:cs="Arial"/>
        <w:i/>
        <w:sz w:val="16"/>
        <w:szCs w:val="16"/>
      </w:rPr>
      <w:t>June 2015</w:t>
    </w:r>
    <w:r w:rsidR="006F6BA7">
      <w:rPr>
        <w:rFonts w:ascii="Arial" w:hAnsi="Arial" w:cs="Arial"/>
        <w:i/>
        <w:sz w:val="16"/>
        <w:szCs w:val="16"/>
      </w:rPr>
      <w:tab/>
    </w:r>
    <w:r w:rsidR="006F6BA7">
      <w:rPr>
        <w:rFonts w:ascii="Arial" w:hAnsi="Arial" w:cs="Arial"/>
        <w:sz w:val="16"/>
        <w:szCs w:val="16"/>
      </w:rPr>
      <w:t>Page</w:t>
    </w:r>
    <w:r w:rsidR="006F6BA7" w:rsidRPr="00117E1D">
      <w:rPr>
        <w:rFonts w:ascii="Arial" w:hAnsi="Arial" w:cs="Arial"/>
        <w:sz w:val="16"/>
        <w:szCs w:val="16"/>
      </w:rPr>
      <w:t xml:space="preserve"> </w:t>
    </w:r>
    <w:r w:rsidR="006F6BA7" w:rsidRPr="00117E1D">
      <w:rPr>
        <w:rStyle w:val="PageNumber"/>
        <w:rFonts w:ascii="Arial" w:hAnsi="Arial" w:cs="Arial"/>
        <w:sz w:val="16"/>
        <w:szCs w:val="16"/>
      </w:rPr>
      <w:fldChar w:fldCharType="begin"/>
    </w:r>
    <w:r w:rsidR="006F6BA7" w:rsidRPr="00117E1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F6BA7" w:rsidRPr="00117E1D">
      <w:rPr>
        <w:rStyle w:val="PageNumber"/>
        <w:rFonts w:ascii="Arial" w:hAnsi="Arial" w:cs="Arial"/>
        <w:sz w:val="16"/>
        <w:szCs w:val="16"/>
      </w:rPr>
      <w:fldChar w:fldCharType="separate"/>
    </w:r>
    <w:r w:rsidR="00A72466">
      <w:rPr>
        <w:rStyle w:val="PageNumber"/>
        <w:rFonts w:ascii="Arial" w:hAnsi="Arial" w:cs="Arial"/>
        <w:noProof/>
        <w:sz w:val="16"/>
        <w:szCs w:val="16"/>
      </w:rPr>
      <w:t>1</w:t>
    </w:r>
    <w:r w:rsidR="006F6BA7" w:rsidRPr="00117E1D">
      <w:rPr>
        <w:rStyle w:val="PageNumber"/>
        <w:rFonts w:ascii="Arial" w:hAnsi="Arial" w:cs="Arial"/>
        <w:sz w:val="16"/>
        <w:szCs w:val="16"/>
      </w:rPr>
      <w:fldChar w:fldCharType="end"/>
    </w:r>
    <w:r w:rsidR="006F6BA7">
      <w:rPr>
        <w:rStyle w:val="PageNumber"/>
        <w:i/>
        <w:sz w:val="16"/>
        <w:szCs w:val="16"/>
      </w:rPr>
      <w:tab/>
    </w:r>
    <w:r w:rsidR="006F6BA7" w:rsidRPr="00592863">
      <w:rPr>
        <w:rFonts w:ascii="Arial" w:hAnsi="Arial" w:cs="Arial"/>
        <w:b/>
        <w:sz w:val="20"/>
        <w:szCs w:val="20"/>
      </w:rPr>
      <w:t>F 2081-</w:t>
    </w:r>
    <w:r w:rsidR="00651889">
      <w:rPr>
        <w:rFonts w:ascii="Arial" w:hAnsi="Arial" w:cs="Arial"/>
        <w:b/>
        <w:sz w:val="20"/>
        <w:szCs w:val="20"/>
      </w:rPr>
      <w:t>2</w:t>
    </w:r>
    <w:r w:rsidR="006F6BA7" w:rsidRPr="00592863">
      <w:rPr>
        <w:rFonts w:ascii="Arial" w:hAnsi="Arial" w:cs="Arial"/>
        <w:b/>
        <w:sz w:val="20"/>
        <w:szCs w:val="20"/>
      </w:rPr>
      <w:t>.3.ORDER.PAYROLL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66" w:rsidRDefault="00A72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3BA" w:rsidRDefault="000513BA">
      <w:r>
        <w:separator/>
      </w:r>
    </w:p>
  </w:footnote>
  <w:footnote w:type="continuationSeparator" w:id="0">
    <w:p w:rsidR="000513BA" w:rsidRDefault="0005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66" w:rsidRDefault="00A7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66" w:rsidRDefault="00A72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66" w:rsidRDefault="00A72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7941C0C"/>
    <w:multiLevelType w:val="hybridMultilevel"/>
    <w:tmpl w:val="48B24078"/>
    <w:lvl w:ilvl="0" w:tplc="BAF4B70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3F817A8F"/>
    <w:multiLevelType w:val="hybridMultilevel"/>
    <w:tmpl w:val="B7D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E05A8A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BF111E3"/>
    <w:multiLevelType w:val="hybridMultilevel"/>
    <w:tmpl w:val="96B29F4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14839"/>
    <w:rsid w:val="000160E7"/>
    <w:rsid w:val="00021231"/>
    <w:rsid w:val="0002316C"/>
    <w:rsid w:val="00023587"/>
    <w:rsid w:val="00025FE5"/>
    <w:rsid w:val="00031F89"/>
    <w:rsid w:val="00032E8A"/>
    <w:rsid w:val="00032F3F"/>
    <w:rsid w:val="00043233"/>
    <w:rsid w:val="000469CB"/>
    <w:rsid w:val="00050381"/>
    <w:rsid w:val="000513BA"/>
    <w:rsid w:val="000624FE"/>
    <w:rsid w:val="00074535"/>
    <w:rsid w:val="000826A4"/>
    <w:rsid w:val="00083E5E"/>
    <w:rsid w:val="00094AD0"/>
    <w:rsid w:val="000A0C9F"/>
    <w:rsid w:val="000B03FC"/>
    <w:rsid w:val="000B27D4"/>
    <w:rsid w:val="000B6188"/>
    <w:rsid w:val="000C04DF"/>
    <w:rsid w:val="000C070F"/>
    <w:rsid w:val="000D2F6A"/>
    <w:rsid w:val="000E08EB"/>
    <w:rsid w:val="000E1B7A"/>
    <w:rsid w:val="000E4954"/>
    <w:rsid w:val="000E7021"/>
    <w:rsid w:val="000F75B2"/>
    <w:rsid w:val="001152BB"/>
    <w:rsid w:val="001170D0"/>
    <w:rsid w:val="00117E1D"/>
    <w:rsid w:val="00127273"/>
    <w:rsid w:val="001305D1"/>
    <w:rsid w:val="001308D9"/>
    <w:rsid w:val="00147CFC"/>
    <w:rsid w:val="001519D1"/>
    <w:rsid w:val="001577CB"/>
    <w:rsid w:val="001631A5"/>
    <w:rsid w:val="00165861"/>
    <w:rsid w:val="00180AE9"/>
    <w:rsid w:val="001848A1"/>
    <w:rsid w:val="00187087"/>
    <w:rsid w:val="00190138"/>
    <w:rsid w:val="001930FD"/>
    <w:rsid w:val="00193B7B"/>
    <w:rsid w:val="001A11A2"/>
    <w:rsid w:val="001A1282"/>
    <w:rsid w:val="001A42CB"/>
    <w:rsid w:val="001C1CD5"/>
    <w:rsid w:val="001C666B"/>
    <w:rsid w:val="001D1015"/>
    <w:rsid w:val="001E1FB4"/>
    <w:rsid w:val="001F5D1A"/>
    <w:rsid w:val="001F6060"/>
    <w:rsid w:val="00205A4C"/>
    <w:rsid w:val="00207772"/>
    <w:rsid w:val="002160AC"/>
    <w:rsid w:val="00220353"/>
    <w:rsid w:val="00221DB9"/>
    <w:rsid w:val="00235169"/>
    <w:rsid w:val="00252D9F"/>
    <w:rsid w:val="00272829"/>
    <w:rsid w:val="00276A76"/>
    <w:rsid w:val="00294206"/>
    <w:rsid w:val="002A78DD"/>
    <w:rsid w:val="002B56FA"/>
    <w:rsid w:val="002D2D2D"/>
    <w:rsid w:val="002D68CE"/>
    <w:rsid w:val="002E1B5D"/>
    <w:rsid w:val="002E3448"/>
    <w:rsid w:val="002E5B02"/>
    <w:rsid w:val="002E772B"/>
    <w:rsid w:val="00305318"/>
    <w:rsid w:val="00306419"/>
    <w:rsid w:val="00317318"/>
    <w:rsid w:val="00323E8C"/>
    <w:rsid w:val="00325A7D"/>
    <w:rsid w:val="00326A38"/>
    <w:rsid w:val="00342076"/>
    <w:rsid w:val="00352960"/>
    <w:rsid w:val="00354011"/>
    <w:rsid w:val="00355F7F"/>
    <w:rsid w:val="00374AF8"/>
    <w:rsid w:val="00392488"/>
    <w:rsid w:val="00393512"/>
    <w:rsid w:val="0039524B"/>
    <w:rsid w:val="003B1E07"/>
    <w:rsid w:val="003B4501"/>
    <w:rsid w:val="003D3BA2"/>
    <w:rsid w:val="003E5637"/>
    <w:rsid w:val="0040699F"/>
    <w:rsid w:val="00421643"/>
    <w:rsid w:val="004276C4"/>
    <w:rsid w:val="00431A9A"/>
    <w:rsid w:val="00432C7A"/>
    <w:rsid w:val="004450B5"/>
    <w:rsid w:val="00452607"/>
    <w:rsid w:val="0045409A"/>
    <w:rsid w:val="00455ED0"/>
    <w:rsid w:val="00472AA7"/>
    <w:rsid w:val="00477079"/>
    <w:rsid w:val="004825A7"/>
    <w:rsid w:val="00496E44"/>
    <w:rsid w:val="004A5BFE"/>
    <w:rsid w:val="004C34CA"/>
    <w:rsid w:val="004C4BC2"/>
    <w:rsid w:val="004C4F9A"/>
    <w:rsid w:val="004D65F2"/>
    <w:rsid w:val="004E45B0"/>
    <w:rsid w:val="004E45EA"/>
    <w:rsid w:val="004E6D0C"/>
    <w:rsid w:val="004F1C4B"/>
    <w:rsid w:val="004F2415"/>
    <w:rsid w:val="00502527"/>
    <w:rsid w:val="005163C8"/>
    <w:rsid w:val="00522AEF"/>
    <w:rsid w:val="0053759B"/>
    <w:rsid w:val="00560D90"/>
    <w:rsid w:val="00572E09"/>
    <w:rsid w:val="00592863"/>
    <w:rsid w:val="00594373"/>
    <w:rsid w:val="005A08CE"/>
    <w:rsid w:val="005A105F"/>
    <w:rsid w:val="005B3AD3"/>
    <w:rsid w:val="005B769D"/>
    <w:rsid w:val="005F2509"/>
    <w:rsid w:val="005F7F9A"/>
    <w:rsid w:val="0061273A"/>
    <w:rsid w:val="00612E51"/>
    <w:rsid w:val="006209FA"/>
    <w:rsid w:val="006264FB"/>
    <w:rsid w:val="00643034"/>
    <w:rsid w:val="00650EFD"/>
    <w:rsid w:val="00651889"/>
    <w:rsid w:val="00660A14"/>
    <w:rsid w:val="006672FD"/>
    <w:rsid w:val="006735E8"/>
    <w:rsid w:val="00675999"/>
    <w:rsid w:val="00693F1F"/>
    <w:rsid w:val="006B6772"/>
    <w:rsid w:val="006C5F40"/>
    <w:rsid w:val="006E2060"/>
    <w:rsid w:val="006E5638"/>
    <w:rsid w:val="006F28B2"/>
    <w:rsid w:val="006F56DC"/>
    <w:rsid w:val="006F6BA7"/>
    <w:rsid w:val="007008C0"/>
    <w:rsid w:val="00713E79"/>
    <w:rsid w:val="00714298"/>
    <w:rsid w:val="007159A2"/>
    <w:rsid w:val="00723078"/>
    <w:rsid w:val="0072748F"/>
    <w:rsid w:val="00734C75"/>
    <w:rsid w:val="00751533"/>
    <w:rsid w:val="00783D0A"/>
    <w:rsid w:val="007C1613"/>
    <w:rsid w:val="007C1BB7"/>
    <w:rsid w:val="007D5348"/>
    <w:rsid w:val="007D7D19"/>
    <w:rsid w:val="007E130E"/>
    <w:rsid w:val="00803FC9"/>
    <w:rsid w:val="008145FD"/>
    <w:rsid w:val="008410FA"/>
    <w:rsid w:val="00870FD4"/>
    <w:rsid w:val="00873745"/>
    <w:rsid w:val="008816BF"/>
    <w:rsid w:val="00882CA7"/>
    <w:rsid w:val="00882D74"/>
    <w:rsid w:val="008836EE"/>
    <w:rsid w:val="008870AA"/>
    <w:rsid w:val="008A17A1"/>
    <w:rsid w:val="008A51B5"/>
    <w:rsid w:val="008B381D"/>
    <w:rsid w:val="008B7AD7"/>
    <w:rsid w:val="008D3C5B"/>
    <w:rsid w:val="008D702C"/>
    <w:rsid w:val="008F300F"/>
    <w:rsid w:val="00905DCB"/>
    <w:rsid w:val="00916F91"/>
    <w:rsid w:val="009221D6"/>
    <w:rsid w:val="00925590"/>
    <w:rsid w:val="009257CA"/>
    <w:rsid w:val="009379A8"/>
    <w:rsid w:val="009456DF"/>
    <w:rsid w:val="0095684A"/>
    <w:rsid w:val="00957CDD"/>
    <w:rsid w:val="00962BE0"/>
    <w:rsid w:val="00964C5F"/>
    <w:rsid w:val="009654A0"/>
    <w:rsid w:val="00980101"/>
    <w:rsid w:val="0098462D"/>
    <w:rsid w:val="00993CE2"/>
    <w:rsid w:val="0099631C"/>
    <w:rsid w:val="009A23FF"/>
    <w:rsid w:val="009A4C5F"/>
    <w:rsid w:val="009A6598"/>
    <w:rsid w:val="009B2C29"/>
    <w:rsid w:val="009B3EA4"/>
    <w:rsid w:val="009C3ECB"/>
    <w:rsid w:val="009E0D52"/>
    <w:rsid w:val="009E720B"/>
    <w:rsid w:val="009F73A0"/>
    <w:rsid w:val="00A02DEA"/>
    <w:rsid w:val="00A06063"/>
    <w:rsid w:val="00A22009"/>
    <w:rsid w:val="00A22744"/>
    <w:rsid w:val="00A23930"/>
    <w:rsid w:val="00A25814"/>
    <w:rsid w:val="00A40061"/>
    <w:rsid w:val="00A446E6"/>
    <w:rsid w:val="00A5607F"/>
    <w:rsid w:val="00A57BDF"/>
    <w:rsid w:val="00A6555F"/>
    <w:rsid w:val="00A72466"/>
    <w:rsid w:val="00A80C4B"/>
    <w:rsid w:val="00A84012"/>
    <w:rsid w:val="00A87B63"/>
    <w:rsid w:val="00A97B05"/>
    <w:rsid w:val="00AA70A1"/>
    <w:rsid w:val="00AB379E"/>
    <w:rsid w:val="00AB54CC"/>
    <w:rsid w:val="00AC732D"/>
    <w:rsid w:val="00AC75A7"/>
    <w:rsid w:val="00AD38F5"/>
    <w:rsid w:val="00AD73D9"/>
    <w:rsid w:val="00AE200F"/>
    <w:rsid w:val="00AE49B6"/>
    <w:rsid w:val="00AE4FEC"/>
    <w:rsid w:val="00AF5085"/>
    <w:rsid w:val="00AF61FE"/>
    <w:rsid w:val="00AF637B"/>
    <w:rsid w:val="00B127B0"/>
    <w:rsid w:val="00B515D7"/>
    <w:rsid w:val="00B83852"/>
    <w:rsid w:val="00B86A2A"/>
    <w:rsid w:val="00BD7296"/>
    <w:rsid w:val="00BE0C67"/>
    <w:rsid w:val="00BE3156"/>
    <w:rsid w:val="00BF66A6"/>
    <w:rsid w:val="00BF6C31"/>
    <w:rsid w:val="00BF70CC"/>
    <w:rsid w:val="00BF736A"/>
    <w:rsid w:val="00C00EC0"/>
    <w:rsid w:val="00C02F46"/>
    <w:rsid w:val="00C22BDB"/>
    <w:rsid w:val="00C334F8"/>
    <w:rsid w:val="00C3384F"/>
    <w:rsid w:val="00C378C5"/>
    <w:rsid w:val="00C50B88"/>
    <w:rsid w:val="00C53877"/>
    <w:rsid w:val="00C55D6B"/>
    <w:rsid w:val="00C62D9A"/>
    <w:rsid w:val="00C66070"/>
    <w:rsid w:val="00C7440C"/>
    <w:rsid w:val="00C80F4E"/>
    <w:rsid w:val="00C8557D"/>
    <w:rsid w:val="00CB41FB"/>
    <w:rsid w:val="00CC2B74"/>
    <w:rsid w:val="00CC5EA7"/>
    <w:rsid w:val="00CE429B"/>
    <w:rsid w:val="00CF70CB"/>
    <w:rsid w:val="00D00402"/>
    <w:rsid w:val="00D03530"/>
    <w:rsid w:val="00D06201"/>
    <w:rsid w:val="00D1076F"/>
    <w:rsid w:val="00D14A6D"/>
    <w:rsid w:val="00D173B5"/>
    <w:rsid w:val="00D17FCA"/>
    <w:rsid w:val="00D40D67"/>
    <w:rsid w:val="00D57AD3"/>
    <w:rsid w:val="00D61D23"/>
    <w:rsid w:val="00D622FF"/>
    <w:rsid w:val="00D63920"/>
    <w:rsid w:val="00D8269D"/>
    <w:rsid w:val="00D8442D"/>
    <w:rsid w:val="00D91198"/>
    <w:rsid w:val="00D9552F"/>
    <w:rsid w:val="00DA52A4"/>
    <w:rsid w:val="00DB0EAA"/>
    <w:rsid w:val="00DB675D"/>
    <w:rsid w:val="00DD285B"/>
    <w:rsid w:val="00DD539E"/>
    <w:rsid w:val="00DD669C"/>
    <w:rsid w:val="00DE2E92"/>
    <w:rsid w:val="00DF40FD"/>
    <w:rsid w:val="00DF78F0"/>
    <w:rsid w:val="00E03080"/>
    <w:rsid w:val="00E0430F"/>
    <w:rsid w:val="00E17093"/>
    <w:rsid w:val="00E21E70"/>
    <w:rsid w:val="00E22861"/>
    <w:rsid w:val="00E23B92"/>
    <w:rsid w:val="00E26897"/>
    <w:rsid w:val="00E34D4E"/>
    <w:rsid w:val="00E3665B"/>
    <w:rsid w:val="00E4535D"/>
    <w:rsid w:val="00E47512"/>
    <w:rsid w:val="00E47A87"/>
    <w:rsid w:val="00E577CD"/>
    <w:rsid w:val="00E65878"/>
    <w:rsid w:val="00E65CBA"/>
    <w:rsid w:val="00E66467"/>
    <w:rsid w:val="00E71B3C"/>
    <w:rsid w:val="00E741E2"/>
    <w:rsid w:val="00E8290B"/>
    <w:rsid w:val="00E86EF4"/>
    <w:rsid w:val="00E94407"/>
    <w:rsid w:val="00E95493"/>
    <w:rsid w:val="00EB41EA"/>
    <w:rsid w:val="00EB6A3F"/>
    <w:rsid w:val="00EB7AD9"/>
    <w:rsid w:val="00EC497D"/>
    <w:rsid w:val="00ED0474"/>
    <w:rsid w:val="00ED04CE"/>
    <w:rsid w:val="00F0503C"/>
    <w:rsid w:val="00F14707"/>
    <w:rsid w:val="00F205B5"/>
    <w:rsid w:val="00F23E1E"/>
    <w:rsid w:val="00F305FD"/>
    <w:rsid w:val="00F42813"/>
    <w:rsid w:val="00F5208F"/>
    <w:rsid w:val="00F5296F"/>
    <w:rsid w:val="00F544F9"/>
    <w:rsid w:val="00F577C9"/>
    <w:rsid w:val="00F812C4"/>
    <w:rsid w:val="00F8636E"/>
    <w:rsid w:val="00F90737"/>
    <w:rsid w:val="00FB0164"/>
    <w:rsid w:val="00FB0C31"/>
    <w:rsid w:val="00FB1D7B"/>
    <w:rsid w:val="00FB4C5E"/>
    <w:rsid w:val="00FB6761"/>
    <w:rsid w:val="00FC5FE9"/>
    <w:rsid w:val="00FD0296"/>
    <w:rsid w:val="00FE0A0D"/>
    <w:rsid w:val="00FF1523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2018-10-12T20:51:00Z</dcterms:created>
  <dcterms:modified xsi:type="dcterms:W3CDTF">2018-10-12T20:51:00Z</dcterms:modified>
</cp:coreProperties>
</file>